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0F55FF" w14:textId="4CD47BDD" w:rsidR="009A0F33" w:rsidRDefault="00B42EC6" w:rsidP="003463C9">
      <w:pPr>
        <w:pStyle w:val="financeheading2"/>
        <w:rPr>
          <w:noProof/>
        </w:rPr>
      </w:pPr>
      <w:bookmarkStart w:id="0" w:name="_GoBack"/>
      <w:bookmarkEnd w:id="0"/>
      <w:r>
        <w:rPr>
          <w:noProof/>
          <w:lang w:eastAsia="en-AU"/>
        </w:rPr>
        <w:drawing>
          <wp:inline distT="0" distB="0" distL="0" distR="0" wp14:anchorId="7C5D6C59" wp14:editId="0EA0BA29">
            <wp:extent cx="7447085" cy="10539436"/>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466436" cy="10566823"/>
                    </a:xfrm>
                    <a:prstGeom prst="rect">
                      <a:avLst/>
                    </a:prstGeom>
                    <a:noFill/>
                    <a:ln>
                      <a:noFill/>
                    </a:ln>
                  </pic:spPr>
                </pic:pic>
              </a:graphicData>
            </a:graphic>
          </wp:inline>
        </w:drawing>
      </w:r>
    </w:p>
    <w:p w14:paraId="0A630A6E" w14:textId="77777777" w:rsidR="00232CA5" w:rsidRPr="009A0F33" w:rsidRDefault="00232CA5" w:rsidP="009A0F33">
      <w:pPr>
        <w:tabs>
          <w:tab w:val="left" w:pos="3255"/>
        </w:tabs>
        <w:sectPr w:rsidR="00232CA5" w:rsidRPr="009A0F33" w:rsidSect="001D4AF4">
          <w:headerReference w:type="even" r:id="rId14"/>
          <w:headerReference w:type="default" r:id="rId15"/>
          <w:footerReference w:type="default" r:id="rId16"/>
          <w:headerReference w:type="first" r:id="rId17"/>
          <w:footerReference w:type="first" r:id="rId18"/>
          <w:type w:val="nextColumn"/>
          <w:pgSz w:w="11906" w:h="16838" w:code="9"/>
          <w:pgMar w:top="0" w:right="238" w:bottom="244" w:left="238" w:header="0" w:footer="0" w:gutter="0"/>
          <w:pgNumType w:fmt="lowerRoman" w:start="1"/>
          <w:cols w:space="709"/>
          <w:titlePg/>
          <w:docGrid w:linePitch="360"/>
        </w:sectPr>
      </w:pPr>
    </w:p>
    <w:p w14:paraId="1493DBEE" w14:textId="77777777" w:rsidR="008C0C96" w:rsidRPr="00B2375C" w:rsidRDefault="008C0C96" w:rsidP="00654F78">
      <w:r w:rsidRPr="00B2375C">
        <w:lastRenderedPageBreak/>
        <w:t>This annual report provides information about the</w:t>
      </w:r>
      <w:r>
        <w:t xml:space="preserve"> Office of the Inspector-General Emergency Management financial and non</w:t>
      </w:r>
      <w:r>
        <w:noBreakHyphen/>
      </w:r>
      <w:r w:rsidRPr="00B2375C">
        <w:t>financial performance for</w:t>
      </w:r>
      <w:r w:rsidRPr="00B2375C">
        <w:rPr>
          <w:i/>
        </w:rPr>
        <w:t xml:space="preserve"> </w:t>
      </w:r>
      <w:r w:rsidRPr="00B2375C">
        <w:t>201</w:t>
      </w:r>
      <w:r>
        <w:t>7</w:t>
      </w:r>
      <w:r w:rsidRPr="00B2375C">
        <w:t>-1</w:t>
      </w:r>
      <w:r>
        <w:t>8</w:t>
      </w:r>
      <w:r w:rsidRPr="00B2375C">
        <w:t xml:space="preserve">. It has been prepared in accordance with the </w:t>
      </w:r>
      <w:r>
        <w:rPr>
          <w:i/>
        </w:rPr>
        <w:t xml:space="preserve">Financial Accountability Act </w:t>
      </w:r>
      <w:r w:rsidRPr="00B2375C">
        <w:rPr>
          <w:i/>
        </w:rPr>
        <w:t>2009</w:t>
      </w:r>
      <w:r w:rsidRPr="00B2375C">
        <w:t xml:space="preserve">, the </w:t>
      </w:r>
      <w:r w:rsidRPr="00B2375C">
        <w:rPr>
          <w:i/>
        </w:rPr>
        <w:t>Financial and Performance Management Standard 2009</w:t>
      </w:r>
      <w:r w:rsidRPr="00B2375C">
        <w:t xml:space="preserve"> and the </w:t>
      </w:r>
      <w:r w:rsidRPr="00B2375C">
        <w:rPr>
          <w:i/>
        </w:rPr>
        <w:t>Annual report requirements for Queensland Government agencies</w:t>
      </w:r>
      <w:r w:rsidRPr="00B2375C">
        <w:t>.</w:t>
      </w:r>
    </w:p>
    <w:p w14:paraId="0768F542" w14:textId="77777777" w:rsidR="008C0C96" w:rsidRDefault="008C0C96" w:rsidP="00654F78">
      <w:r>
        <w:t xml:space="preserve">The annual report includes the significant achievements against the objectives and strategies detailed in the </w:t>
      </w:r>
      <w:r w:rsidRPr="00031B43">
        <w:rPr>
          <w:i/>
        </w:rPr>
        <w:t>Office of the Inspector-General Emergency Management Strategic Plan 2017-21</w:t>
      </w:r>
      <w:r>
        <w:t xml:space="preserve"> and the </w:t>
      </w:r>
      <w:r w:rsidRPr="00031B43">
        <w:rPr>
          <w:i/>
        </w:rPr>
        <w:t>Service Delivery Statement 2017-18</w:t>
      </w:r>
      <w:r>
        <w:t xml:space="preserve">.  </w:t>
      </w:r>
    </w:p>
    <w:p w14:paraId="60959681" w14:textId="77777777" w:rsidR="008C0C96" w:rsidRPr="008C0C96" w:rsidRDefault="008C0C96" w:rsidP="00654F78">
      <w:pPr>
        <w:autoSpaceDE w:val="0"/>
        <w:autoSpaceDN w:val="0"/>
        <w:adjustRightInd w:val="0"/>
        <w:rPr>
          <w:b/>
          <w:bCs/>
        </w:rPr>
      </w:pPr>
      <w:r w:rsidRPr="008C0C96">
        <w:rPr>
          <w:b/>
        </w:rPr>
        <w:t>For more information</w:t>
      </w:r>
    </w:p>
    <w:p w14:paraId="65BBAF2C" w14:textId="77777777" w:rsidR="008C0C96" w:rsidRPr="008C0C96" w:rsidRDefault="008C0C96" w:rsidP="00654F78">
      <w:pPr>
        <w:rPr>
          <w:szCs w:val="22"/>
        </w:rPr>
      </w:pPr>
      <w:r w:rsidRPr="008C0C96">
        <w:rPr>
          <w:szCs w:val="22"/>
        </w:rPr>
        <w:t>Telephone: (07) 3029 8813</w:t>
      </w:r>
    </w:p>
    <w:p w14:paraId="6C3C22CB" w14:textId="77777777" w:rsidR="008C0C96" w:rsidRPr="008C0C96" w:rsidRDefault="008C0C96" w:rsidP="00654F78">
      <w:pPr>
        <w:rPr>
          <w:szCs w:val="22"/>
        </w:rPr>
      </w:pPr>
      <w:r w:rsidRPr="008C0C96">
        <w:rPr>
          <w:szCs w:val="22"/>
        </w:rPr>
        <w:t xml:space="preserve">Visit: </w:t>
      </w:r>
      <w:hyperlink r:id="rId19" w:history="1">
        <w:r w:rsidRPr="008C0C96">
          <w:rPr>
            <w:rStyle w:val="Hyperlink"/>
            <w:color w:val="auto"/>
            <w:szCs w:val="22"/>
          </w:rPr>
          <w:t>www.igem.qld.gov.au</w:t>
        </w:r>
      </w:hyperlink>
    </w:p>
    <w:p w14:paraId="5A0FB098" w14:textId="77777777" w:rsidR="008C0C96" w:rsidRPr="008C0C96" w:rsidRDefault="008C0C96" w:rsidP="00654F78">
      <w:pPr>
        <w:rPr>
          <w:rStyle w:val="Hyperlink"/>
          <w:color w:val="auto"/>
          <w:szCs w:val="22"/>
          <w:u w:val="none"/>
        </w:rPr>
      </w:pPr>
      <w:r w:rsidRPr="008C0C96">
        <w:rPr>
          <w:szCs w:val="22"/>
        </w:rPr>
        <w:t xml:space="preserve">Email: </w:t>
      </w:r>
      <w:hyperlink r:id="rId20" w:history="1">
        <w:r w:rsidRPr="008C0C96">
          <w:rPr>
            <w:rStyle w:val="Hyperlink"/>
            <w:color w:val="auto"/>
            <w:szCs w:val="22"/>
          </w:rPr>
          <w:t>info@igem.qld.gov.au</w:t>
        </w:r>
      </w:hyperlink>
      <w:r w:rsidRPr="008C0C96">
        <w:rPr>
          <w:rStyle w:val="Hyperlink"/>
          <w:color w:val="auto"/>
          <w:szCs w:val="22"/>
          <w:u w:val="none"/>
        </w:rPr>
        <w:t xml:space="preserve"> </w:t>
      </w:r>
    </w:p>
    <w:p w14:paraId="26F691F5" w14:textId="77777777" w:rsidR="008C0C96" w:rsidRDefault="008C0C96" w:rsidP="00654F78">
      <w:r w:rsidRPr="008C0C96">
        <w:t xml:space="preserve">This annual report </w:t>
      </w:r>
      <w:r>
        <w:t xml:space="preserve">is available on the Office of the Inspector-General Emergency Management website at </w:t>
      </w:r>
      <w:hyperlink r:id="rId21" w:history="1">
        <w:r w:rsidRPr="00F60F03">
          <w:rPr>
            <w:rStyle w:val="Hyperlink"/>
          </w:rPr>
          <w:t>www.igem.qld.gov.au/reports-and-publications/annual-reports/Pages/default.aspx</w:t>
        </w:r>
      </w:hyperlink>
      <w:r w:rsidRPr="008C0C96">
        <w:t xml:space="preserve"> </w:t>
      </w:r>
      <w:r>
        <w:t xml:space="preserve">or a paper copy </w:t>
      </w:r>
      <w:r w:rsidRPr="008C0C96">
        <w:t xml:space="preserve">can </w:t>
      </w:r>
      <w:r w:rsidRPr="00B2375C">
        <w:t xml:space="preserve">be </w:t>
      </w:r>
      <w:r>
        <w:t xml:space="preserve">provided on request by </w:t>
      </w:r>
      <w:r w:rsidR="008434E8">
        <w:t xml:space="preserve">telephoning </w:t>
      </w:r>
      <w:r w:rsidR="001274C8">
        <w:t>(07) 3029 8813.</w:t>
      </w:r>
    </w:p>
    <w:p w14:paraId="5C4A3C91" w14:textId="77777777" w:rsidR="001274C8" w:rsidRPr="00446769" w:rsidRDefault="001274C8" w:rsidP="008434E8">
      <w:pPr>
        <w:autoSpaceDE w:val="0"/>
        <w:autoSpaceDN w:val="0"/>
        <w:adjustRightInd w:val="0"/>
        <w:rPr>
          <w:b/>
          <w:bCs/>
        </w:rPr>
      </w:pPr>
      <w:r w:rsidRPr="00446769">
        <w:rPr>
          <w:b/>
        </w:rPr>
        <w:t>Feedback</w:t>
      </w:r>
    </w:p>
    <w:p w14:paraId="0921C3B3" w14:textId="6FEA6DB0" w:rsidR="00BC4B22" w:rsidRDefault="001274C8" w:rsidP="008434E8">
      <w:pPr>
        <w:autoSpaceDE w:val="0"/>
        <w:autoSpaceDN w:val="0"/>
        <w:adjustRightInd w:val="0"/>
        <w:contextualSpacing/>
      </w:pPr>
      <w:r w:rsidRPr="00B2375C">
        <w:t xml:space="preserve">Feedback on the annual report can be provided through the </w:t>
      </w:r>
      <w:r w:rsidRPr="00B2375C">
        <w:rPr>
          <w:i/>
        </w:rPr>
        <w:t>Get Involved</w:t>
      </w:r>
      <w:r w:rsidRPr="00B2375C">
        <w:t xml:space="preserve"> website:</w:t>
      </w:r>
      <w:r>
        <w:t xml:space="preserve"> </w:t>
      </w:r>
    </w:p>
    <w:p w14:paraId="0F7EE4C3" w14:textId="0509E050" w:rsidR="00BC4B22" w:rsidRDefault="00772ED7" w:rsidP="008434E8">
      <w:pPr>
        <w:autoSpaceDE w:val="0"/>
        <w:autoSpaceDN w:val="0"/>
        <w:adjustRightInd w:val="0"/>
      </w:pPr>
      <w:hyperlink r:id="rId22" w:history="1">
        <w:r w:rsidR="00BC4B22" w:rsidRPr="00102529">
          <w:rPr>
            <w:rStyle w:val="Hyperlink"/>
          </w:rPr>
          <w:t>www.qld.gov.au/annualreportfeedback</w:t>
        </w:r>
      </w:hyperlink>
    </w:p>
    <w:p w14:paraId="25428B54" w14:textId="3B9834B1" w:rsidR="00AB0126" w:rsidRDefault="00AB0126" w:rsidP="008434E8">
      <w:pPr>
        <w:autoSpaceDE w:val="0"/>
        <w:autoSpaceDN w:val="0"/>
        <w:adjustRightInd w:val="0"/>
        <w:rPr>
          <w:rFonts w:eastAsia="Times New Roman"/>
          <w:lang w:eastAsia="en-AU"/>
        </w:rPr>
      </w:pPr>
      <w:r w:rsidRPr="00AB0126">
        <w:rPr>
          <w:rFonts w:eastAsia="Times New Roman"/>
          <w:b/>
          <w:lang w:eastAsia="en-AU"/>
        </w:rPr>
        <w:t>Acknowledgement of Country</w:t>
      </w:r>
    </w:p>
    <w:p w14:paraId="04E7DD60" w14:textId="77777777" w:rsidR="00AB0126" w:rsidRDefault="00AB0126" w:rsidP="008434E8">
      <w:pPr>
        <w:autoSpaceDE w:val="0"/>
        <w:autoSpaceDN w:val="0"/>
        <w:adjustRightInd w:val="0"/>
        <w:rPr>
          <w:b/>
        </w:rPr>
      </w:pPr>
      <w:r>
        <w:rPr>
          <w:rFonts w:eastAsia="Times New Roman"/>
          <w:lang w:eastAsia="en-AU"/>
        </w:rPr>
        <w:t>The Office of the Inspector-General Emergency Management acknowledges traditional owners of lands across Queensland and pays respect to the Elders—past, present and emerging—for</w:t>
      </w:r>
      <w:r w:rsidRPr="00AB0126">
        <w:rPr>
          <w:rFonts w:eastAsia="Times New Roman"/>
          <w:lang w:eastAsia="en-AU"/>
        </w:rPr>
        <w:t xml:space="preserve"> </w:t>
      </w:r>
      <w:r>
        <w:rPr>
          <w:rFonts w:eastAsia="Times New Roman"/>
          <w:lang w:eastAsia="en-AU"/>
        </w:rPr>
        <w:t>they hold the memories, traditions, the culture and hopes of Aboriginal and Torres Strait Islander peoples across the state.</w:t>
      </w:r>
    </w:p>
    <w:p w14:paraId="4E2466C5" w14:textId="77777777" w:rsidR="001274C8" w:rsidRPr="00446769" w:rsidRDefault="001274C8" w:rsidP="00654F78">
      <w:pPr>
        <w:autoSpaceDE w:val="0"/>
        <w:autoSpaceDN w:val="0"/>
        <w:adjustRightInd w:val="0"/>
        <w:rPr>
          <w:b/>
          <w:bCs/>
        </w:rPr>
      </w:pPr>
      <w:r w:rsidRPr="00446769">
        <w:rPr>
          <w:b/>
        </w:rPr>
        <w:t>Other languages and formats</w:t>
      </w:r>
    </w:p>
    <w:p w14:paraId="65876490" w14:textId="7D64FD31" w:rsidR="001274C8" w:rsidRDefault="001274C8" w:rsidP="00654F78">
      <w:r w:rsidRPr="00B2375C">
        <w:t>The Queensland Government is committed to providing accessible services to Queenslanders from all cultural</w:t>
      </w:r>
      <w:r w:rsidR="008434E8">
        <w:t>ly</w:t>
      </w:r>
      <w:r w:rsidRPr="00B2375C">
        <w:t xml:space="preserve"> and linguistic</w:t>
      </w:r>
      <w:r w:rsidR="00AC7458">
        <w:t>ally diverse</w:t>
      </w:r>
      <w:r w:rsidRPr="00B2375C">
        <w:t xml:space="preserve"> backgrounds. If you have difficulty understanding this </w:t>
      </w:r>
      <w:r>
        <w:t xml:space="preserve">report, you can access the </w:t>
      </w:r>
      <w:r w:rsidRPr="00B2375C">
        <w:t>Translatin</w:t>
      </w:r>
      <w:r>
        <w:t xml:space="preserve">g and Interpreting Service (TIS </w:t>
      </w:r>
      <w:r w:rsidRPr="00B2375C">
        <w:t xml:space="preserve">National) </w:t>
      </w:r>
      <w:r>
        <w:t xml:space="preserve">via </w:t>
      </w:r>
      <w:hyperlink r:id="rId23" w:history="1">
        <w:r w:rsidR="00BC4B22" w:rsidRPr="00102529">
          <w:rPr>
            <w:rStyle w:val="Hyperlink"/>
          </w:rPr>
          <w:t>www.qld.gov.au/languages</w:t>
        </w:r>
      </w:hyperlink>
      <w:r>
        <w:t xml:space="preserve"> </w:t>
      </w:r>
      <w:r w:rsidRPr="00B2375C">
        <w:t>o</w:t>
      </w:r>
      <w:r>
        <w:t xml:space="preserve">r </w:t>
      </w:r>
      <w:r w:rsidR="00AC7458">
        <w:t>telephoning</w:t>
      </w:r>
      <w:r>
        <w:t xml:space="preserve"> </w:t>
      </w:r>
      <w:r w:rsidR="00AC7458">
        <w:t xml:space="preserve"> </w:t>
      </w:r>
      <w:r>
        <w:t>13</w:t>
      </w:r>
      <w:r w:rsidR="00AC7458">
        <w:t xml:space="preserve"> 1</w:t>
      </w:r>
      <w:r>
        <w:t>4</w:t>
      </w:r>
      <w:r w:rsidR="00AC7458">
        <w:t xml:space="preserve"> </w:t>
      </w:r>
      <w:r>
        <w:t xml:space="preserve">50. </w:t>
      </w:r>
    </w:p>
    <w:p w14:paraId="1629CFB7" w14:textId="77777777" w:rsidR="00A54E9D" w:rsidRDefault="00A54E9D" w:rsidP="00654F78">
      <w:r>
        <w:rPr>
          <w:noProof/>
          <w:lang w:eastAsia="en-AU"/>
        </w:rPr>
        <w:drawing>
          <wp:anchor distT="0" distB="0" distL="114300" distR="114300" simplePos="0" relativeHeight="251670528" behindDoc="0" locked="0" layoutInCell="1" allowOverlap="1" wp14:anchorId="0EC5E0EF" wp14:editId="5852E51F">
            <wp:simplePos x="0" y="0"/>
            <wp:positionH relativeFrom="column">
              <wp:align>left</wp:align>
            </wp:positionH>
            <wp:positionV relativeFrom="paragraph">
              <wp:posOffset>10160</wp:posOffset>
            </wp:positionV>
            <wp:extent cx="581025" cy="581025"/>
            <wp:effectExtent l="0" t="0" r="9525" b="9525"/>
            <wp:wrapSquare wrapText="bothSides"/>
            <wp:docPr id="233" name="Picture 233" descr="http://www.immi.gov.au/living-in-australia/help-with-english/NIS/interpreter_symbol_text.jpg"/>
            <wp:cNvGraphicFramePr/>
            <a:graphic xmlns:a="http://schemas.openxmlformats.org/drawingml/2006/main">
              <a:graphicData uri="http://schemas.openxmlformats.org/drawingml/2006/picture">
                <pic:pic xmlns:pic="http://schemas.openxmlformats.org/drawingml/2006/picture">
                  <pic:nvPicPr>
                    <pic:cNvPr id="1" name="Picture 1" descr="http://www.immi.gov.au/living-in-australia/help-with-english/NIS/interpreter_symbol_text.jpg"/>
                    <pic:cNvPicPr/>
                  </pic:nvPicPr>
                  <pic:blipFill>
                    <a:blip r:embed="rId24" cstate="print"/>
                    <a:srcRect/>
                    <a:stretch>
                      <a:fillRect/>
                    </a:stretch>
                  </pic:blipFill>
                  <pic:spPr bwMode="auto">
                    <a:xfrm>
                      <a:off x="0" y="0"/>
                      <a:ext cx="581025" cy="5810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D126C6E" w14:textId="77777777" w:rsidR="00A54E9D" w:rsidRDefault="00A54E9D" w:rsidP="00654F78">
      <w:pPr>
        <w:autoSpaceDE w:val="0"/>
        <w:autoSpaceDN w:val="0"/>
        <w:adjustRightInd w:val="0"/>
        <w:rPr>
          <w:b/>
        </w:rPr>
      </w:pPr>
    </w:p>
    <w:p w14:paraId="26D6A6B5" w14:textId="77777777" w:rsidR="00A54E9D" w:rsidRDefault="00A54E9D" w:rsidP="00654F78">
      <w:pPr>
        <w:autoSpaceDE w:val="0"/>
        <w:autoSpaceDN w:val="0"/>
        <w:adjustRightInd w:val="0"/>
        <w:rPr>
          <w:b/>
        </w:rPr>
      </w:pPr>
    </w:p>
    <w:p w14:paraId="13C63311" w14:textId="77777777" w:rsidR="001274C8" w:rsidRPr="00B2375C" w:rsidRDefault="001274C8" w:rsidP="00654F78">
      <w:pPr>
        <w:autoSpaceDE w:val="0"/>
        <w:autoSpaceDN w:val="0"/>
        <w:adjustRightInd w:val="0"/>
      </w:pPr>
      <w:r w:rsidRPr="00446769">
        <w:rPr>
          <w:b/>
        </w:rPr>
        <w:t>Copyright</w:t>
      </w:r>
    </w:p>
    <w:p w14:paraId="35A1C754" w14:textId="77777777" w:rsidR="001274C8" w:rsidRDefault="001274C8" w:rsidP="00654F78">
      <w:pPr>
        <w:tabs>
          <w:tab w:val="left" w:pos="1418"/>
        </w:tabs>
        <w:autoSpaceDE w:val="0"/>
        <w:autoSpaceDN w:val="0"/>
        <w:adjustRightInd w:val="0"/>
      </w:pPr>
      <w:r>
        <w:t xml:space="preserve">© The State of Queensland (Office of the Inspector-General Emergency Management) </w:t>
      </w:r>
      <w:r w:rsidRPr="00B2375C">
        <w:t>201</w:t>
      </w:r>
      <w:r>
        <w:t xml:space="preserve">8. </w:t>
      </w:r>
    </w:p>
    <w:p w14:paraId="1A68A52E" w14:textId="77777777" w:rsidR="00AB05E1" w:rsidRDefault="00AB05E1" w:rsidP="00A54E9D">
      <w:pPr>
        <w:tabs>
          <w:tab w:val="left" w:pos="1418"/>
        </w:tabs>
        <w:autoSpaceDE w:val="0"/>
        <w:autoSpaceDN w:val="0"/>
        <w:adjustRightInd w:val="0"/>
      </w:pPr>
      <w:r>
        <w:t>Published by the Queensland Government, September 2018. Level 26, 111 George Street, Brisbane Qld 4000.</w:t>
      </w:r>
    </w:p>
    <w:p w14:paraId="3B958A03" w14:textId="77777777" w:rsidR="001274C8" w:rsidRPr="00446769" w:rsidRDefault="001274C8" w:rsidP="00A54E9D">
      <w:pPr>
        <w:autoSpaceDE w:val="0"/>
        <w:autoSpaceDN w:val="0"/>
        <w:adjustRightInd w:val="0"/>
        <w:rPr>
          <w:b/>
          <w:bCs/>
        </w:rPr>
      </w:pPr>
      <w:r w:rsidRPr="00446769">
        <w:rPr>
          <w:b/>
        </w:rPr>
        <w:t>Licence</w:t>
      </w:r>
    </w:p>
    <w:p w14:paraId="72DC66AF" w14:textId="77777777" w:rsidR="001274C8" w:rsidRPr="00B2375C" w:rsidRDefault="001274C8" w:rsidP="00A54E9D">
      <w:pPr>
        <w:autoSpaceDE w:val="0"/>
        <w:autoSpaceDN w:val="0"/>
        <w:adjustRightInd w:val="0"/>
      </w:pPr>
      <w:r w:rsidRPr="00B2375C">
        <w:t>This annual report is licen</w:t>
      </w:r>
      <w:r>
        <w:t>sed by the State of Queensland (Office of the Inspector-General Emergency Management)</w:t>
      </w:r>
      <w:r w:rsidRPr="00B2375C">
        <w:t xml:space="preserve"> under a Creative </w:t>
      </w:r>
      <w:r w:rsidRPr="00824FA6">
        <w:t xml:space="preserve">Commons Attribution (CC BY) </w:t>
      </w:r>
      <w:r>
        <w:t xml:space="preserve">4.0 </w:t>
      </w:r>
      <w:r w:rsidRPr="00824FA6">
        <w:t>Australia licence.</w:t>
      </w:r>
    </w:p>
    <w:p w14:paraId="0C5C405D" w14:textId="77777777" w:rsidR="00A54E9D" w:rsidRDefault="00A54E9D" w:rsidP="00654F78">
      <w:pPr>
        <w:autoSpaceDE w:val="0"/>
        <w:autoSpaceDN w:val="0"/>
        <w:adjustRightInd w:val="0"/>
        <w:rPr>
          <w:b/>
        </w:rPr>
      </w:pPr>
      <w:r>
        <w:rPr>
          <w:noProof/>
          <w:lang w:eastAsia="en-AU"/>
        </w:rPr>
        <w:drawing>
          <wp:anchor distT="0" distB="0" distL="114300" distR="114300" simplePos="0" relativeHeight="251672576" behindDoc="0" locked="0" layoutInCell="1" allowOverlap="1" wp14:anchorId="7F2CCE38" wp14:editId="74F03320">
            <wp:simplePos x="0" y="0"/>
            <wp:positionH relativeFrom="column">
              <wp:align>left</wp:align>
            </wp:positionH>
            <wp:positionV relativeFrom="paragraph">
              <wp:posOffset>27940</wp:posOffset>
            </wp:positionV>
            <wp:extent cx="876300" cy="304800"/>
            <wp:effectExtent l="0" t="0" r="0" b="0"/>
            <wp:wrapSquare wrapText="bothSides"/>
            <wp:docPr id="236" name="Picture 15" descr="裰矺㡰矵䒨矹絰矵診矵㚄ꡠͩ">
              <a:hlinkClick xmlns:a="http://schemas.openxmlformats.org/drawingml/2006/main" r:id="rId25"/>
            </wp:docPr>
            <wp:cNvGraphicFramePr/>
            <a:graphic xmlns:a="http://schemas.openxmlformats.org/drawingml/2006/main">
              <a:graphicData uri="http://schemas.openxmlformats.org/drawingml/2006/picture">
                <pic:pic xmlns:pic="http://schemas.openxmlformats.org/drawingml/2006/picture">
                  <pic:nvPicPr>
                    <pic:cNvPr id="5" name="Picture 15" descr="裰矺㡰矵䒨矹絰矵診矵㚄ꡠͩ">
                      <a:hlinkClick r:id="rId25"/>
                    </pic:cNvPr>
                    <pic:cNvPicPr/>
                  </pic:nvPicPr>
                  <pic:blipFill>
                    <a:blip r:embed="rId26" cstate="print"/>
                    <a:srcRect/>
                    <a:stretch>
                      <a:fillRect/>
                    </a:stretch>
                  </pic:blipFill>
                  <pic:spPr bwMode="auto">
                    <a:xfrm>
                      <a:off x="0" y="0"/>
                      <a:ext cx="876300" cy="3048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A1DDBC5" w14:textId="77777777" w:rsidR="00A54E9D" w:rsidRDefault="00A54E9D" w:rsidP="00654F78">
      <w:pPr>
        <w:autoSpaceDE w:val="0"/>
        <w:autoSpaceDN w:val="0"/>
        <w:adjustRightInd w:val="0"/>
        <w:rPr>
          <w:b/>
        </w:rPr>
      </w:pPr>
    </w:p>
    <w:p w14:paraId="7684DFF1" w14:textId="77777777" w:rsidR="001274C8" w:rsidRPr="00446769" w:rsidRDefault="00A54E9D" w:rsidP="00654F78">
      <w:pPr>
        <w:autoSpaceDE w:val="0"/>
        <w:autoSpaceDN w:val="0"/>
        <w:adjustRightInd w:val="0"/>
        <w:rPr>
          <w:b/>
          <w:bCs/>
        </w:rPr>
      </w:pPr>
      <w:r>
        <w:rPr>
          <w:b/>
        </w:rPr>
        <w:t>C</w:t>
      </w:r>
      <w:r w:rsidR="001274C8" w:rsidRPr="00446769">
        <w:rPr>
          <w:b/>
        </w:rPr>
        <w:t>C BY Licence Summary Statement</w:t>
      </w:r>
    </w:p>
    <w:p w14:paraId="62901669" w14:textId="77777777" w:rsidR="001274C8" w:rsidRDefault="001274C8" w:rsidP="00654F78">
      <w:pPr>
        <w:autoSpaceDE w:val="0"/>
        <w:autoSpaceDN w:val="0"/>
        <w:adjustRightInd w:val="0"/>
      </w:pPr>
      <w:r w:rsidRPr="00B2375C">
        <w:t>In essence, you are free to copy, communicate and adapt this annual report, as long as you attribute the w</w:t>
      </w:r>
      <w:r>
        <w:t>ork to the State of Queensland (Office of the Inspector-General Emergency Mana</w:t>
      </w:r>
      <w:r w:rsidRPr="00A8123D">
        <w:t>gement</w:t>
      </w:r>
      <w:r>
        <w:t>)</w:t>
      </w:r>
      <w:r w:rsidRPr="00A8123D">
        <w:t>. To view</w:t>
      </w:r>
      <w:r w:rsidRPr="00B2375C">
        <w:t xml:space="preserve"> a copy of this licence, visit: </w:t>
      </w:r>
      <w:hyperlink r:id="rId27" w:history="1">
        <w:r w:rsidRPr="00B86BB9">
          <w:rPr>
            <w:rStyle w:val="Hyperlink"/>
          </w:rPr>
          <w:t>creativecommons.org/licenses/by/4.0</w:t>
        </w:r>
      </w:hyperlink>
    </w:p>
    <w:p w14:paraId="4CB8AFB5" w14:textId="77777777" w:rsidR="001274C8" w:rsidRPr="00446769" w:rsidRDefault="001274C8" w:rsidP="00654F78">
      <w:pPr>
        <w:autoSpaceDE w:val="0"/>
        <w:autoSpaceDN w:val="0"/>
        <w:adjustRightInd w:val="0"/>
        <w:rPr>
          <w:b/>
          <w:bCs/>
        </w:rPr>
      </w:pPr>
      <w:r w:rsidRPr="00446769">
        <w:rPr>
          <w:b/>
        </w:rPr>
        <w:t>Attribution</w:t>
      </w:r>
    </w:p>
    <w:p w14:paraId="64398C5E" w14:textId="77777777" w:rsidR="001274C8" w:rsidRDefault="001274C8" w:rsidP="00654F78">
      <w:pPr>
        <w:autoSpaceDE w:val="0"/>
        <w:autoSpaceDN w:val="0"/>
        <w:adjustRightInd w:val="0"/>
      </w:pPr>
      <w:r w:rsidRPr="00B2375C">
        <w:t>Content from this annual report should be attribut</w:t>
      </w:r>
      <w:r>
        <w:t xml:space="preserve">ed to: </w:t>
      </w:r>
    </w:p>
    <w:p w14:paraId="0ECAD548" w14:textId="77777777" w:rsidR="001274C8" w:rsidRDefault="001274C8" w:rsidP="00654F78">
      <w:pPr>
        <w:autoSpaceDE w:val="0"/>
        <w:autoSpaceDN w:val="0"/>
        <w:adjustRightInd w:val="0"/>
      </w:pPr>
      <w:r>
        <w:t>The State of Queensland (Office of the Inspector-General Emergency Management)</w:t>
      </w:r>
      <w:r w:rsidRPr="00540AAC">
        <w:t xml:space="preserve"> Annual Report 201</w:t>
      </w:r>
      <w:r>
        <w:t>7</w:t>
      </w:r>
      <w:r w:rsidRPr="00540AAC">
        <w:t>-1</w:t>
      </w:r>
      <w:r>
        <w:t>8</w:t>
      </w:r>
      <w:r w:rsidRPr="00540AAC">
        <w:t>.</w:t>
      </w:r>
    </w:p>
    <w:p w14:paraId="1664EA8C" w14:textId="77777777" w:rsidR="001274C8" w:rsidRPr="00446769" w:rsidRDefault="001274C8" w:rsidP="00654F78">
      <w:pPr>
        <w:rPr>
          <w:b/>
          <w:bCs/>
        </w:rPr>
      </w:pPr>
      <w:r w:rsidRPr="00446769">
        <w:rPr>
          <w:b/>
        </w:rPr>
        <w:t xml:space="preserve">ISSN:  </w:t>
      </w:r>
      <w:r w:rsidRPr="00446769">
        <w:rPr>
          <w:b/>
        </w:rPr>
        <w:tab/>
      </w:r>
    </w:p>
    <w:p w14:paraId="3886C9F6" w14:textId="77777777" w:rsidR="001274C8" w:rsidRDefault="001274C8" w:rsidP="00654F78">
      <w:pPr>
        <w:tabs>
          <w:tab w:val="left" w:pos="851"/>
        </w:tabs>
      </w:pPr>
      <w:r>
        <w:t xml:space="preserve">Online: </w:t>
      </w:r>
      <w:r>
        <w:tab/>
        <w:t xml:space="preserve">2205-6548 </w:t>
      </w:r>
    </w:p>
    <w:p w14:paraId="25FEB8B0" w14:textId="77777777" w:rsidR="001274C8" w:rsidRDefault="001274C8" w:rsidP="00654F78">
      <w:pPr>
        <w:tabs>
          <w:tab w:val="left" w:pos="851"/>
        </w:tabs>
      </w:pPr>
      <w:r>
        <w:t xml:space="preserve">Print: </w:t>
      </w:r>
      <w:r>
        <w:tab/>
        <w:t>2206-1444</w:t>
      </w:r>
    </w:p>
    <w:p w14:paraId="37FFF501" w14:textId="77777777" w:rsidR="008C0C96" w:rsidRPr="00654F78" w:rsidRDefault="00654F78" w:rsidP="00654F78">
      <w:pPr>
        <w:rPr>
          <w:b/>
        </w:rPr>
      </w:pPr>
      <w:r w:rsidRPr="00654F78">
        <w:rPr>
          <w:b/>
        </w:rPr>
        <w:t>Open data</w:t>
      </w:r>
    </w:p>
    <w:p w14:paraId="716702A0" w14:textId="77777777" w:rsidR="00654F78" w:rsidRDefault="00654F78" w:rsidP="00654F78">
      <w:r>
        <w:rPr>
          <w:szCs w:val="22"/>
        </w:rPr>
        <w:t xml:space="preserve">Information about </w:t>
      </w:r>
      <w:r w:rsidRPr="009A3DBD">
        <w:rPr>
          <w:szCs w:val="22"/>
        </w:rPr>
        <w:t>consultancies, overseas travel</w:t>
      </w:r>
      <w:r>
        <w:rPr>
          <w:szCs w:val="22"/>
        </w:rPr>
        <w:t xml:space="preserve"> and the </w:t>
      </w:r>
      <w:r w:rsidRPr="004008A3">
        <w:rPr>
          <w:i/>
          <w:szCs w:val="22"/>
        </w:rPr>
        <w:t>Queensland Language Services Policy</w:t>
      </w:r>
      <w:r>
        <w:rPr>
          <w:szCs w:val="22"/>
        </w:rPr>
        <w:t xml:space="preserve"> is available at the </w:t>
      </w:r>
      <w:r w:rsidRPr="009A3DBD">
        <w:rPr>
          <w:szCs w:val="22"/>
        </w:rPr>
        <w:t xml:space="preserve">Queensland Government Open Data </w:t>
      </w:r>
      <w:r>
        <w:rPr>
          <w:szCs w:val="22"/>
        </w:rPr>
        <w:t xml:space="preserve">website </w:t>
      </w:r>
      <w:hyperlink r:id="rId28" w:history="1">
        <w:r w:rsidRPr="001878FE">
          <w:rPr>
            <w:rStyle w:val="Hyperlink"/>
            <w:color w:val="AB054C"/>
            <w:szCs w:val="22"/>
          </w:rPr>
          <w:t>www.data.qld.gov.au</w:t>
        </w:r>
      </w:hyperlink>
    </w:p>
    <w:p w14:paraId="17DC971C" w14:textId="77777777" w:rsidR="008C0C96" w:rsidRDefault="001274C8" w:rsidP="00CC57BB">
      <w:r w:rsidRPr="00341581">
        <w:rPr>
          <w:noProof/>
          <w:lang w:eastAsia="en-AU"/>
        </w:rPr>
        <w:drawing>
          <wp:inline distT="0" distB="0" distL="0" distR="0" wp14:anchorId="3DE64B56" wp14:editId="46E4EDB2">
            <wp:extent cx="266700" cy="295275"/>
            <wp:effectExtent l="0" t="0" r="0" b="9525"/>
            <wp:docPr id="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700" cy="295275"/>
                    </a:xfrm>
                    <a:prstGeom prst="rect">
                      <a:avLst/>
                    </a:prstGeom>
                    <a:noFill/>
                    <a:ln>
                      <a:noFill/>
                    </a:ln>
                  </pic:spPr>
                </pic:pic>
              </a:graphicData>
            </a:graphic>
          </wp:inline>
        </w:drawing>
      </w:r>
      <w:hyperlink r:id="rId30" w:history="1">
        <w:r w:rsidRPr="00D6144C">
          <w:rPr>
            <w:rStyle w:val="Hyperlink"/>
            <w:sz w:val="20"/>
          </w:rPr>
          <w:t>www.facebook.com/InspectorGeneralEmergencyManagement</w:t>
        </w:r>
      </w:hyperlink>
    </w:p>
    <w:p w14:paraId="049DBEB4" w14:textId="77777777" w:rsidR="008C0C96" w:rsidRDefault="008C0C96" w:rsidP="00CC57BB"/>
    <w:p w14:paraId="32A9B557" w14:textId="77777777" w:rsidR="008C0C96" w:rsidRDefault="008C0C96">
      <w:pPr>
        <w:sectPr w:rsidR="008C0C96" w:rsidSect="008C0C96">
          <w:headerReference w:type="even" r:id="rId31"/>
          <w:headerReference w:type="default" r:id="rId32"/>
          <w:headerReference w:type="first" r:id="rId33"/>
          <w:footerReference w:type="first" r:id="rId34"/>
          <w:type w:val="nextColumn"/>
          <w:pgSz w:w="11906" w:h="16838" w:code="9"/>
          <w:pgMar w:top="720" w:right="964" w:bottom="720" w:left="1134" w:header="567" w:footer="567" w:gutter="0"/>
          <w:pgNumType w:fmt="lowerRoman" w:start="1"/>
          <w:cols w:num="2" w:space="1018"/>
          <w:docGrid w:linePitch="360"/>
        </w:sectPr>
      </w:pPr>
    </w:p>
    <w:p w14:paraId="339E9C0E" w14:textId="77777777" w:rsidR="008C0C96" w:rsidRDefault="008C0C96">
      <w:r>
        <w:br w:type="page"/>
      </w:r>
    </w:p>
    <w:p w14:paraId="66D58991" w14:textId="5262FDA1" w:rsidR="001725EF" w:rsidRPr="001725EF" w:rsidRDefault="001725EF" w:rsidP="001725EF">
      <w:pPr>
        <w:keepNext/>
        <w:keepLines/>
        <w:spacing w:before="0" w:after="240"/>
        <w:ind w:left="-142"/>
        <w:outlineLvl w:val="1"/>
        <w:rPr>
          <w:rFonts w:ascii="Arial Bold" w:eastAsia="Times New Roman" w:hAnsi="Arial Bold"/>
          <w:b/>
          <w:bCs/>
          <w:color w:val="AB054C"/>
          <w:sz w:val="36"/>
          <w14:ligatures w14:val="standardContextual"/>
        </w:rPr>
      </w:pPr>
      <w:bookmarkStart w:id="1" w:name="_Toc522266453"/>
      <w:r w:rsidRPr="001725EF">
        <w:rPr>
          <w:rFonts w:ascii="Arial Bold" w:eastAsia="Times New Roman" w:hAnsi="Arial Bold"/>
          <w:b/>
          <w:bCs/>
          <w:color w:val="AB054C"/>
          <w:sz w:val="36"/>
          <w14:ligatures w14:val="standardContextual"/>
        </w:rPr>
        <w:lastRenderedPageBreak/>
        <w:t xml:space="preserve">Letter of </w:t>
      </w:r>
      <w:r w:rsidR="00F760C8">
        <w:rPr>
          <w:rFonts w:ascii="Arial Bold" w:eastAsia="Times New Roman" w:hAnsi="Arial Bold"/>
          <w:b/>
          <w:bCs/>
          <w:color w:val="AB054C"/>
          <w:sz w:val="36"/>
          <w14:ligatures w14:val="standardContextual"/>
        </w:rPr>
        <w:t>C</w:t>
      </w:r>
      <w:r w:rsidRPr="001725EF">
        <w:rPr>
          <w:rFonts w:ascii="Arial Bold" w:eastAsia="Times New Roman" w:hAnsi="Arial Bold"/>
          <w:b/>
          <w:bCs/>
          <w:color w:val="AB054C"/>
          <w:sz w:val="36"/>
          <w14:ligatures w14:val="standardContextual"/>
        </w:rPr>
        <w:t>ompliance</w:t>
      </w:r>
      <w:bookmarkEnd w:id="1"/>
    </w:p>
    <w:p w14:paraId="290B80A1" w14:textId="77777777" w:rsidR="000E59B7" w:rsidRDefault="000E59B7" w:rsidP="00F74975">
      <w:pPr>
        <w:spacing w:before="0" w:after="0"/>
        <w:rPr>
          <w:bCs/>
        </w:rPr>
      </w:pPr>
      <w:bookmarkStart w:id="2" w:name="_Hlk523384325"/>
      <w:bookmarkEnd w:id="2"/>
    </w:p>
    <w:p w14:paraId="39526B1E" w14:textId="22D37581" w:rsidR="005D770E" w:rsidRPr="00322D29" w:rsidRDefault="00E140C6" w:rsidP="00F74975">
      <w:pPr>
        <w:spacing w:before="0" w:after="0"/>
        <w:rPr>
          <w:b/>
          <w:bCs/>
          <w:sz w:val="24"/>
          <w:szCs w:val="24"/>
        </w:rPr>
        <w:sectPr w:rsidR="005D770E" w:rsidRPr="00322D29" w:rsidSect="008C0C96">
          <w:type w:val="continuous"/>
          <w:pgSz w:w="11906" w:h="16838" w:code="9"/>
          <w:pgMar w:top="720" w:right="964" w:bottom="720" w:left="1134" w:header="567" w:footer="567" w:gutter="0"/>
          <w:pgNumType w:fmt="lowerRoman" w:start="1"/>
          <w:cols w:space="1018"/>
          <w:docGrid w:linePitch="360"/>
        </w:sectPr>
      </w:pPr>
      <w:r>
        <w:rPr>
          <w:noProof/>
          <w:lang w:eastAsia="en-AU"/>
        </w:rPr>
        <w:drawing>
          <wp:anchor distT="0" distB="0" distL="114300" distR="114300" simplePos="0" relativeHeight="251674624" behindDoc="0" locked="0" layoutInCell="1" allowOverlap="1" wp14:anchorId="254F8B70" wp14:editId="77A51CA7">
            <wp:simplePos x="0" y="0"/>
            <wp:positionH relativeFrom="column">
              <wp:posOffset>0</wp:posOffset>
            </wp:positionH>
            <wp:positionV relativeFrom="paragraph">
              <wp:posOffset>113665</wp:posOffset>
            </wp:positionV>
            <wp:extent cx="6228080" cy="8686800"/>
            <wp:effectExtent l="133350" t="114300" r="134620" b="17145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t="646" b="1176"/>
                    <a:stretch/>
                  </pic:blipFill>
                  <pic:spPr bwMode="auto">
                    <a:xfrm>
                      <a:off x="0" y="0"/>
                      <a:ext cx="6228080" cy="8686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322D29" w:rsidRPr="00322D29">
        <w:rPr>
          <w:b/>
          <w:bCs/>
          <w:sz w:val="24"/>
          <w:szCs w:val="24"/>
        </w:rPr>
        <w:t xml:space="preserve"> </w:t>
      </w:r>
    </w:p>
    <w:p w14:paraId="29E43471" w14:textId="77777777" w:rsidR="00F338E8" w:rsidRPr="001D617A" w:rsidRDefault="00F338E8" w:rsidP="00BE328A">
      <w:pPr>
        <w:pStyle w:val="Heading1"/>
      </w:pPr>
      <w:bookmarkStart w:id="3" w:name="_Toc522266454"/>
      <w:bookmarkStart w:id="4" w:name="_Toc524519400"/>
      <w:r w:rsidRPr="001D617A">
        <w:lastRenderedPageBreak/>
        <w:t xml:space="preserve">Table of </w:t>
      </w:r>
      <w:r w:rsidR="00D92C5C" w:rsidRPr="001D617A">
        <w:t>c</w:t>
      </w:r>
      <w:r w:rsidRPr="001D617A">
        <w:t>ontents</w:t>
      </w:r>
      <w:bookmarkEnd w:id="3"/>
      <w:bookmarkEnd w:id="4"/>
      <w:r w:rsidRPr="001D617A">
        <w:tab/>
      </w:r>
    </w:p>
    <w:p w14:paraId="32BCA506" w14:textId="77777777" w:rsidR="005109E9" w:rsidRDefault="005109E9">
      <w:pPr>
        <w:pStyle w:val="TOC2"/>
        <w:rPr>
          <w:rFonts w:ascii="Arial Bold" w:hAnsi="Arial Bold"/>
          <w:b/>
          <w:bCs/>
          <w:sz w:val="24"/>
        </w:rPr>
      </w:pPr>
    </w:p>
    <w:p w14:paraId="377A059E" w14:textId="1F46B1CD" w:rsidR="00BA0A91" w:rsidRDefault="008757D6">
      <w:pPr>
        <w:pStyle w:val="TOC1"/>
        <w:rPr>
          <w:rFonts w:asciiTheme="minorHAnsi" w:eastAsiaTheme="minorEastAsia" w:hAnsiTheme="minorHAnsi" w:cstheme="minorBidi"/>
          <w:b w:val="0"/>
          <w:bCs w:val="0"/>
          <w:noProof/>
          <w:kern w:val="0"/>
          <w:sz w:val="22"/>
          <w:szCs w:val="22"/>
          <w:lang w:eastAsia="en-AU"/>
        </w:rPr>
      </w:pPr>
      <w:r w:rsidRPr="008757D6">
        <w:rPr>
          <w:rFonts w:ascii="Arial Bold" w:hAnsi="Arial Bold"/>
          <w:b w:val="0"/>
          <w:bCs w:val="0"/>
        </w:rPr>
        <w:fldChar w:fldCharType="begin"/>
      </w:r>
      <w:r w:rsidRPr="008757D6">
        <w:rPr>
          <w:rFonts w:ascii="Arial Bold" w:hAnsi="Arial Bold"/>
        </w:rPr>
        <w:instrText xml:space="preserve"> TOC \o "1-1" \h \z \t "Heading 2,2,Heading 4,3" </w:instrText>
      </w:r>
      <w:r w:rsidRPr="008757D6">
        <w:rPr>
          <w:rFonts w:ascii="Arial Bold" w:hAnsi="Arial Bold"/>
          <w:b w:val="0"/>
          <w:bCs w:val="0"/>
        </w:rPr>
        <w:fldChar w:fldCharType="separate"/>
      </w:r>
      <w:hyperlink w:anchor="_Toc524519400" w:history="1">
        <w:r w:rsidR="00BA0A91" w:rsidRPr="00661CA8">
          <w:rPr>
            <w:rStyle w:val="Hyperlink"/>
            <w:noProof/>
          </w:rPr>
          <w:t>Table of contents</w:t>
        </w:r>
        <w:r w:rsidR="00BA0A91">
          <w:rPr>
            <w:noProof/>
            <w:webHidden/>
          </w:rPr>
          <w:tab/>
        </w:r>
        <w:r w:rsidR="00BA0A91">
          <w:rPr>
            <w:noProof/>
            <w:webHidden/>
          </w:rPr>
          <w:fldChar w:fldCharType="begin"/>
        </w:r>
        <w:r w:rsidR="00BA0A91">
          <w:rPr>
            <w:noProof/>
            <w:webHidden/>
          </w:rPr>
          <w:instrText xml:space="preserve"> PAGEREF _Toc524519400 \h </w:instrText>
        </w:r>
        <w:r w:rsidR="00BA0A91">
          <w:rPr>
            <w:noProof/>
            <w:webHidden/>
          </w:rPr>
        </w:r>
        <w:r w:rsidR="00BA0A91">
          <w:rPr>
            <w:noProof/>
            <w:webHidden/>
          </w:rPr>
          <w:fldChar w:fldCharType="separate"/>
        </w:r>
        <w:r w:rsidR="00BA0A91">
          <w:rPr>
            <w:noProof/>
            <w:webHidden/>
          </w:rPr>
          <w:t>1</w:t>
        </w:r>
        <w:r w:rsidR="00BA0A91">
          <w:rPr>
            <w:noProof/>
            <w:webHidden/>
          </w:rPr>
          <w:fldChar w:fldCharType="end"/>
        </w:r>
      </w:hyperlink>
    </w:p>
    <w:p w14:paraId="5F3651CB" w14:textId="5B1533EC" w:rsidR="00BA0A91" w:rsidRDefault="00772ED7">
      <w:pPr>
        <w:pStyle w:val="TOC2"/>
        <w:rPr>
          <w:rFonts w:asciiTheme="minorHAnsi" w:eastAsiaTheme="minorEastAsia" w:hAnsiTheme="minorHAnsi" w:cstheme="minorBidi"/>
          <w:noProof/>
          <w:kern w:val="0"/>
          <w:szCs w:val="22"/>
          <w:lang w:eastAsia="en-AU"/>
        </w:rPr>
      </w:pPr>
      <w:hyperlink w:anchor="_Toc524519401" w:history="1">
        <w:r w:rsidR="00BA0A91" w:rsidRPr="00661CA8">
          <w:rPr>
            <w:rStyle w:val="Hyperlink"/>
            <w:noProof/>
          </w:rPr>
          <w:t>Inspector-General’s message</w:t>
        </w:r>
        <w:r w:rsidR="00BA0A91">
          <w:rPr>
            <w:noProof/>
            <w:webHidden/>
          </w:rPr>
          <w:tab/>
        </w:r>
        <w:r w:rsidR="00BA0A91">
          <w:rPr>
            <w:noProof/>
            <w:webHidden/>
          </w:rPr>
          <w:fldChar w:fldCharType="begin"/>
        </w:r>
        <w:r w:rsidR="00BA0A91">
          <w:rPr>
            <w:noProof/>
            <w:webHidden/>
          </w:rPr>
          <w:instrText xml:space="preserve"> PAGEREF _Toc524519401 \h </w:instrText>
        </w:r>
        <w:r w:rsidR="00BA0A91">
          <w:rPr>
            <w:noProof/>
            <w:webHidden/>
          </w:rPr>
        </w:r>
        <w:r w:rsidR="00BA0A91">
          <w:rPr>
            <w:noProof/>
            <w:webHidden/>
          </w:rPr>
          <w:fldChar w:fldCharType="separate"/>
        </w:r>
        <w:r w:rsidR="00BA0A91">
          <w:rPr>
            <w:noProof/>
            <w:webHidden/>
          </w:rPr>
          <w:t>2</w:t>
        </w:r>
        <w:r w:rsidR="00BA0A91">
          <w:rPr>
            <w:noProof/>
            <w:webHidden/>
          </w:rPr>
          <w:fldChar w:fldCharType="end"/>
        </w:r>
      </w:hyperlink>
    </w:p>
    <w:p w14:paraId="41ECB8F4" w14:textId="54B870E4" w:rsidR="00BA0A91" w:rsidRDefault="00772ED7">
      <w:pPr>
        <w:pStyle w:val="TOC1"/>
        <w:rPr>
          <w:rFonts w:asciiTheme="minorHAnsi" w:eastAsiaTheme="minorEastAsia" w:hAnsiTheme="minorHAnsi" w:cstheme="minorBidi"/>
          <w:b w:val="0"/>
          <w:bCs w:val="0"/>
          <w:noProof/>
          <w:kern w:val="0"/>
          <w:sz w:val="22"/>
          <w:szCs w:val="22"/>
          <w:lang w:eastAsia="en-AU"/>
        </w:rPr>
      </w:pPr>
      <w:hyperlink w:anchor="_Toc524519402" w:history="1">
        <w:r w:rsidR="00BA0A91" w:rsidRPr="00661CA8">
          <w:rPr>
            <w:rStyle w:val="Hyperlink"/>
            <w:noProof/>
          </w:rPr>
          <w:t>Overview</w:t>
        </w:r>
        <w:r w:rsidR="00BA0A91">
          <w:rPr>
            <w:noProof/>
            <w:webHidden/>
          </w:rPr>
          <w:tab/>
        </w:r>
        <w:r w:rsidR="00BA0A91">
          <w:rPr>
            <w:noProof/>
            <w:webHidden/>
          </w:rPr>
          <w:fldChar w:fldCharType="begin"/>
        </w:r>
        <w:r w:rsidR="00BA0A91">
          <w:rPr>
            <w:noProof/>
            <w:webHidden/>
          </w:rPr>
          <w:instrText xml:space="preserve"> PAGEREF _Toc524519402 \h </w:instrText>
        </w:r>
        <w:r w:rsidR="00BA0A91">
          <w:rPr>
            <w:noProof/>
            <w:webHidden/>
          </w:rPr>
        </w:r>
        <w:r w:rsidR="00BA0A91">
          <w:rPr>
            <w:noProof/>
            <w:webHidden/>
          </w:rPr>
          <w:fldChar w:fldCharType="separate"/>
        </w:r>
        <w:r w:rsidR="00BA0A91">
          <w:rPr>
            <w:noProof/>
            <w:webHidden/>
          </w:rPr>
          <w:t>4</w:t>
        </w:r>
        <w:r w:rsidR="00BA0A91">
          <w:rPr>
            <w:noProof/>
            <w:webHidden/>
          </w:rPr>
          <w:fldChar w:fldCharType="end"/>
        </w:r>
      </w:hyperlink>
    </w:p>
    <w:p w14:paraId="31804B2C" w14:textId="27C6BFF2" w:rsidR="00BA0A91" w:rsidRDefault="00772ED7">
      <w:pPr>
        <w:pStyle w:val="TOC2"/>
        <w:rPr>
          <w:rFonts w:asciiTheme="minorHAnsi" w:eastAsiaTheme="minorEastAsia" w:hAnsiTheme="minorHAnsi" w:cstheme="minorBidi"/>
          <w:noProof/>
          <w:kern w:val="0"/>
          <w:szCs w:val="22"/>
          <w:lang w:eastAsia="en-AU"/>
        </w:rPr>
      </w:pPr>
      <w:hyperlink w:anchor="_Toc524519403" w:history="1">
        <w:r w:rsidR="00BA0A91" w:rsidRPr="00661CA8">
          <w:rPr>
            <w:rStyle w:val="Hyperlink"/>
            <w:noProof/>
          </w:rPr>
          <w:t>About us</w:t>
        </w:r>
        <w:r w:rsidR="00BA0A91">
          <w:rPr>
            <w:noProof/>
            <w:webHidden/>
          </w:rPr>
          <w:tab/>
        </w:r>
        <w:r w:rsidR="00BA0A91">
          <w:rPr>
            <w:noProof/>
            <w:webHidden/>
          </w:rPr>
          <w:fldChar w:fldCharType="begin"/>
        </w:r>
        <w:r w:rsidR="00BA0A91">
          <w:rPr>
            <w:noProof/>
            <w:webHidden/>
          </w:rPr>
          <w:instrText xml:space="preserve"> PAGEREF _Toc524519403 \h </w:instrText>
        </w:r>
        <w:r w:rsidR="00BA0A91">
          <w:rPr>
            <w:noProof/>
            <w:webHidden/>
          </w:rPr>
        </w:r>
        <w:r w:rsidR="00BA0A91">
          <w:rPr>
            <w:noProof/>
            <w:webHidden/>
          </w:rPr>
          <w:fldChar w:fldCharType="separate"/>
        </w:r>
        <w:r w:rsidR="00BA0A91">
          <w:rPr>
            <w:noProof/>
            <w:webHidden/>
          </w:rPr>
          <w:t>4</w:t>
        </w:r>
        <w:r w:rsidR="00BA0A91">
          <w:rPr>
            <w:noProof/>
            <w:webHidden/>
          </w:rPr>
          <w:fldChar w:fldCharType="end"/>
        </w:r>
      </w:hyperlink>
    </w:p>
    <w:p w14:paraId="21D0AB5B" w14:textId="7CDC74CD" w:rsidR="00BA0A91" w:rsidRDefault="00772ED7">
      <w:pPr>
        <w:pStyle w:val="TOC2"/>
        <w:rPr>
          <w:rFonts w:asciiTheme="minorHAnsi" w:eastAsiaTheme="minorEastAsia" w:hAnsiTheme="minorHAnsi" w:cstheme="minorBidi"/>
          <w:noProof/>
          <w:kern w:val="0"/>
          <w:szCs w:val="22"/>
          <w:lang w:eastAsia="en-AU"/>
        </w:rPr>
      </w:pPr>
      <w:hyperlink w:anchor="_Toc524519404" w:history="1">
        <w:r w:rsidR="00BA0A91" w:rsidRPr="00661CA8">
          <w:rPr>
            <w:rStyle w:val="Hyperlink"/>
            <w:noProof/>
          </w:rPr>
          <w:t>Structure</w:t>
        </w:r>
        <w:r w:rsidR="00BA0A91">
          <w:rPr>
            <w:noProof/>
            <w:webHidden/>
          </w:rPr>
          <w:tab/>
        </w:r>
        <w:r w:rsidR="00BA0A91">
          <w:rPr>
            <w:noProof/>
            <w:webHidden/>
          </w:rPr>
          <w:fldChar w:fldCharType="begin"/>
        </w:r>
        <w:r w:rsidR="00BA0A91">
          <w:rPr>
            <w:noProof/>
            <w:webHidden/>
          </w:rPr>
          <w:instrText xml:space="preserve"> PAGEREF _Toc524519404 \h </w:instrText>
        </w:r>
        <w:r w:rsidR="00BA0A91">
          <w:rPr>
            <w:noProof/>
            <w:webHidden/>
          </w:rPr>
        </w:r>
        <w:r w:rsidR="00BA0A91">
          <w:rPr>
            <w:noProof/>
            <w:webHidden/>
          </w:rPr>
          <w:fldChar w:fldCharType="separate"/>
        </w:r>
        <w:r w:rsidR="00BA0A91">
          <w:rPr>
            <w:noProof/>
            <w:webHidden/>
          </w:rPr>
          <w:t>9</w:t>
        </w:r>
        <w:r w:rsidR="00BA0A91">
          <w:rPr>
            <w:noProof/>
            <w:webHidden/>
          </w:rPr>
          <w:fldChar w:fldCharType="end"/>
        </w:r>
      </w:hyperlink>
    </w:p>
    <w:p w14:paraId="5D4A89C3" w14:textId="48133A43" w:rsidR="00BA0A91" w:rsidRDefault="00772ED7">
      <w:pPr>
        <w:pStyle w:val="TOC1"/>
        <w:rPr>
          <w:rFonts w:asciiTheme="minorHAnsi" w:eastAsiaTheme="minorEastAsia" w:hAnsiTheme="minorHAnsi" w:cstheme="minorBidi"/>
          <w:b w:val="0"/>
          <w:bCs w:val="0"/>
          <w:noProof/>
          <w:kern w:val="0"/>
          <w:sz w:val="22"/>
          <w:szCs w:val="22"/>
          <w:lang w:eastAsia="en-AU"/>
        </w:rPr>
      </w:pPr>
      <w:hyperlink w:anchor="_Toc524519405" w:history="1">
        <w:r w:rsidR="00BA0A91" w:rsidRPr="00661CA8">
          <w:rPr>
            <w:rStyle w:val="Hyperlink"/>
            <w:noProof/>
          </w:rPr>
          <w:t>Financial summary</w:t>
        </w:r>
        <w:r w:rsidR="00BA0A91">
          <w:rPr>
            <w:noProof/>
            <w:webHidden/>
          </w:rPr>
          <w:tab/>
        </w:r>
        <w:r w:rsidR="00BA0A91">
          <w:rPr>
            <w:noProof/>
            <w:webHidden/>
          </w:rPr>
          <w:fldChar w:fldCharType="begin"/>
        </w:r>
        <w:r w:rsidR="00BA0A91">
          <w:rPr>
            <w:noProof/>
            <w:webHidden/>
          </w:rPr>
          <w:instrText xml:space="preserve"> PAGEREF _Toc524519405 \h </w:instrText>
        </w:r>
        <w:r w:rsidR="00BA0A91">
          <w:rPr>
            <w:noProof/>
            <w:webHidden/>
          </w:rPr>
        </w:r>
        <w:r w:rsidR="00BA0A91">
          <w:rPr>
            <w:noProof/>
            <w:webHidden/>
          </w:rPr>
          <w:fldChar w:fldCharType="separate"/>
        </w:r>
        <w:r w:rsidR="00BA0A91">
          <w:rPr>
            <w:noProof/>
            <w:webHidden/>
          </w:rPr>
          <w:t>10</w:t>
        </w:r>
        <w:r w:rsidR="00BA0A91">
          <w:rPr>
            <w:noProof/>
            <w:webHidden/>
          </w:rPr>
          <w:fldChar w:fldCharType="end"/>
        </w:r>
      </w:hyperlink>
    </w:p>
    <w:p w14:paraId="0F93F787" w14:textId="1FF62D79" w:rsidR="00BA0A91" w:rsidRDefault="00772ED7">
      <w:pPr>
        <w:pStyle w:val="TOC2"/>
        <w:rPr>
          <w:rFonts w:asciiTheme="minorHAnsi" w:eastAsiaTheme="minorEastAsia" w:hAnsiTheme="minorHAnsi" w:cstheme="minorBidi"/>
          <w:noProof/>
          <w:kern w:val="0"/>
          <w:szCs w:val="22"/>
          <w:lang w:eastAsia="en-AU"/>
        </w:rPr>
      </w:pPr>
      <w:hyperlink w:anchor="_Toc524519406" w:history="1">
        <w:r w:rsidR="00BA0A91" w:rsidRPr="00661CA8">
          <w:rPr>
            <w:rStyle w:val="Hyperlink"/>
            <w:noProof/>
          </w:rPr>
          <w:t>Summary of financial performance</w:t>
        </w:r>
        <w:r w:rsidR="00BA0A91">
          <w:rPr>
            <w:noProof/>
            <w:webHidden/>
          </w:rPr>
          <w:tab/>
        </w:r>
        <w:r w:rsidR="00BA0A91">
          <w:rPr>
            <w:noProof/>
            <w:webHidden/>
          </w:rPr>
          <w:fldChar w:fldCharType="begin"/>
        </w:r>
        <w:r w:rsidR="00BA0A91">
          <w:rPr>
            <w:noProof/>
            <w:webHidden/>
          </w:rPr>
          <w:instrText xml:space="preserve"> PAGEREF _Toc524519406 \h </w:instrText>
        </w:r>
        <w:r w:rsidR="00BA0A91">
          <w:rPr>
            <w:noProof/>
            <w:webHidden/>
          </w:rPr>
        </w:r>
        <w:r w:rsidR="00BA0A91">
          <w:rPr>
            <w:noProof/>
            <w:webHidden/>
          </w:rPr>
          <w:fldChar w:fldCharType="separate"/>
        </w:r>
        <w:r w:rsidR="00BA0A91">
          <w:rPr>
            <w:noProof/>
            <w:webHidden/>
          </w:rPr>
          <w:t>10</w:t>
        </w:r>
        <w:r w:rsidR="00BA0A91">
          <w:rPr>
            <w:noProof/>
            <w:webHidden/>
          </w:rPr>
          <w:fldChar w:fldCharType="end"/>
        </w:r>
      </w:hyperlink>
    </w:p>
    <w:p w14:paraId="3A8BA8EC" w14:textId="013F4BE0" w:rsidR="00BA0A91" w:rsidRDefault="00772ED7">
      <w:pPr>
        <w:pStyle w:val="TOC2"/>
        <w:rPr>
          <w:rFonts w:asciiTheme="minorHAnsi" w:eastAsiaTheme="minorEastAsia" w:hAnsiTheme="minorHAnsi" w:cstheme="minorBidi"/>
          <w:noProof/>
          <w:kern w:val="0"/>
          <w:szCs w:val="22"/>
          <w:lang w:eastAsia="en-AU"/>
        </w:rPr>
      </w:pPr>
      <w:hyperlink w:anchor="_Toc524519407" w:history="1">
        <w:r w:rsidR="00BA0A91" w:rsidRPr="00661CA8">
          <w:rPr>
            <w:rStyle w:val="Hyperlink"/>
            <w:noProof/>
          </w:rPr>
          <w:t>Summary of financial position</w:t>
        </w:r>
        <w:r w:rsidR="00BA0A91">
          <w:rPr>
            <w:noProof/>
            <w:webHidden/>
          </w:rPr>
          <w:tab/>
        </w:r>
        <w:r w:rsidR="00BA0A91">
          <w:rPr>
            <w:noProof/>
            <w:webHidden/>
          </w:rPr>
          <w:fldChar w:fldCharType="begin"/>
        </w:r>
        <w:r w:rsidR="00BA0A91">
          <w:rPr>
            <w:noProof/>
            <w:webHidden/>
          </w:rPr>
          <w:instrText xml:space="preserve"> PAGEREF _Toc524519407 \h </w:instrText>
        </w:r>
        <w:r w:rsidR="00BA0A91">
          <w:rPr>
            <w:noProof/>
            <w:webHidden/>
          </w:rPr>
        </w:r>
        <w:r w:rsidR="00BA0A91">
          <w:rPr>
            <w:noProof/>
            <w:webHidden/>
          </w:rPr>
          <w:fldChar w:fldCharType="separate"/>
        </w:r>
        <w:r w:rsidR="00BA0A91">
          <w:rPr>
            <w:noProof/>
            <w:webHidden/>
          </w:rPr>
          <w:t>11</w:t>
        </w:r>
        <w:r w:rsidR="00BA0A91">
          <w:rPr>
            <w:noProof/>
            <w:webHidden/>
          </w:rPr>
          <w:fldChar w:fldCharType="end"/>
        </w:r>
      </w:hyperlink>
    </w:p>
    <w:p w14:paraId="1ADC2607" w14:textId="7231EDEE" w:rsidR="00BA0A91" w:rsidRDefault="00772ED7">
      <w:pPr>
        <w:pStyle w:val="TOC1"/>
        <w:rPr>
          <w:rFonts w:asciiTheme="minorHAnsi" w:eastAsiaTheme="minorEastAsia" w:hAnsiTheme="minorHAnsi" w:cstheme="minorBidi"/>
          <w:b w:val="0"/>
          <w:bCs w:val="0"/>
          <w:noProof/>
          <w:kern w:val="0"/>
          <w:sz w:val="22"/>
          <w:szCs w:val="22"/>
          <w:lang w:eastAsia="en-AU"/>
        </w:rPr>
      </w:pPr>
      <w:hyperlink w:anchor="_Toc524519408" w:history="1">
        <w:r w:rsidR="00BA0A91" w:rsidRPr="00661CA8">
          <w:rPr>
            <w:rStyle w:val="Hyperlink"/>
            <w:noProof/>
          </w:rPr>
          <w:t>Performance</w:t>
        </w:r>
        <w:r w:rsidR="00BA0A91">
          <w:rPr>
            <w:noProof/>
            <w:webHidden/>
          </w:rPr>
          <w:tab/>
        </w:r>
        <w:r w:rsidR="00BA0A91">
          <w:rPr>
            <w:noProof/>
            <w:webHidden/>
          </w:rPr>
          <w:fldChar w:fldCharType="begin"/>
        </w:r>
        <w:r w:rsidR="00BA0A91">
          <w:rPr>
            <w:noProof/>
            <w:webHidden/>
          </w:rPr>
          <w:instrText xml:space="preserve"> PAGEREF _Toc524519408 \h </w:instrText>
        </w:r>
        <w:r w:rsidR="00BA0A91">
          <w:rPr>
            <w:noProof/>
            <w:webHidden/>
          </w:rPr>
        </w:r>
        <w:r w:rsidR="00BA0A91">
          <w:rPr>
            <w:noProof/>
            <w:webHidden/>
          </w:rPr>
          <w:fldChar w:fldCharType="separate"/>
        </w:r>
        <w:r w:rsidR="00BA0A91">
          <w:rPr>
            <w:noProof/>
            <w:webHidden/>
          </w:rPr>
          <w:t>12</w:t>
        </w:r>
        <w:r w:rsidR="00BA0A91">
          <w:rPr>
            <w:noProof/>
            <w:webHidden/>
          </w:rPr>
          <w:fldChar w:fldCharType="end"/>
        </w:r>
      </w:hyperlink>
    </w:p>
    <w:p w14:paraId="0AAB882E" w14:textId="26983FC4" w:rsidR="00BA0A91" w:rsidRDefault="00772ED7">
      <w:pPr>
        <w:pStyle w:val="TOC2"/>
        <w:rPr>
          <w:rFonts w:asciiTheme="minorHAnsi" w:eastAsiaTheme="minorEastAsia" w:hAnsiTheme="minorHAnsi" w:cstheme="minorBidi"/>
          <w:noProof/>
          <w:kern w:val="0"/>
          <w:szCs w:val="22"/>
          <w:lang w:eastAsia="en-AU"/>
        </w:rPr>
      </w:pPr>
      <w:hyperlink w:anchor="_Toc524519409" w:history="1">
        <w:r w:rsidR="00BA0A91" w:rsidRPr="00661CA8">
          <w:rPr>
            <w:rStyle w:val="Hyperlink"/>
            <w:noProof/>
          </w:rPr>
          <w:t>Key performance measures</w:t>
        </w:r>
        <w:r w:rsidR="00BA0A91">
          <w:rPr>
            <w:noProof/>
            <w:webHidden/>
          </w:rPr>
          <w:tab/>
        </w:r>
        <w:r w:rsidR="00BA0A91">
          <w:rPr>
            <w:noProof/>
            <w:webHidden/>
          </w:rPr>
          <w:fldChar w:fldCharType="begin"/>
        </w:r>
        <w:r w:rsidR="00BA0A91">
          <w:rPr>
            <w:noProof/>
            <w:webHidden/>
          </w:rPr>
          <w:instrText xml:space="preserve"> PAGEREF _Toc524519409 \h </w:instrText>
        </w:r>
        <w:r w:rsidR="00BA0A91">
          <w:rPr>
            <w:noProof/>
            <w:webHidden/>
          </w:rPr>
        </w:r>
        <w:r w:rsidR="00BA0A91">
          <w:rPr>
            <w:noProof/>
            <w:webHidden/>
          </w:rPr>
          <w:fldChar w:fldCharType="separate"/>
        </w:r>
        <w:r w:rsidR="00BA0A91">
          <w:rPr>
            <w:noProof/>
            <w:webHidden/>
          </w:rPr>
          <w:t>12</w:t>
        </w:r>
        <w:r w:rsidR="00BA0A91">
          <w:rPr>
            <w:noProof/>
            <w:webHidden/>
          </w:rPr>
          <w:fldChar w:fldCharType="end"/>
        </w:r>
      </w:hyperlink>
    </w:p>
    <w:p w14:paraId="7193F193" w14:textId="04BD87A6" w:rsidR="00BA0A91" w:rsidRDefault="00772ED7">
      <w:pPr>
        <w:pStyle w:val="TOC2"/>
        <w:rPr>
          <w:rFonts w:asciiTheme="minorHAnsi" w:eastAsiaTheme="minorEastAsia" w:hAnsiTheme="minorHAnsi" w:cstheme="minorBidi"/>
          <w:noProof/>
          <w:kern w:val="0"/>
          <w:szCs w:val="22"/>
          <w:lang w:eastAsia="en-AU"/>
        </w:rPr>
      </w:pPr>
      <w:hyperlink w:anchor="_Toc524519410" w:history="1">
        <w:r w:rsidR="00BA0A91" w:rsidRPr="00661CA8">
          <w:rPr>
            <w:rStyle w:val="Hyperlink"/>
            <w:noProof/>
          </w:rPr>
          <w:t>2017-18 Highlights</w:t>
        </w:r>
        <w:r w:rsidR="00BA0A91">
          <w:rPr>
            <w:noProof/>
            <w:webHidden/>
          </w:rPr>
          <w:tab/>
        </w:r>
        <w:r w:rsidR="00BA0A91">
          <w:rPr>
            <w:noProof/>
            <w:webHidden/>
          </w:rPr>
          <w:fldChar w:fldCharType="begin"/>
        </w:r>
        <w:r w:rsidR="00BA0A91">
          <w:rPr>
            <w:noProof/>
            <w:webHidden/>
          </w:rPr>
          <w:instrText xml:space="preserve"> PAGEREF _Toc524519410 \h </w:instrText>
        </w:r>
        <w:r w:rsidR="00BA0A91">
          <w:rPr>
            <w:noProof/>
            <w:webHidden/>
          </w:rPr>
        </w:r>
        <w:r w:rsidR="00BA0A91">
          <w:rPr>
            <w:noProof/>
            <w:webHidden/>
          </w:rPr>
          <w:fldChar w:fldCharType="separate"/>
        </w:r>
        <w:r w:rsidR="00BA0A91">
          <w:rPr>
            <w:noProof/>
            <w:webHidden/>
          </w:rPr>
          <w:t>14</w:t>
        </w:r>
        <w:r w:rsidR="00BA0A91">
          <w:rPr>
            <w:noProof/>
            <w:webHidden/>
          </w:rPr>
          <w:fldChar w:fldCharType="end"/>
        </w:r>
      </w:hyperlink>
    </w:p>
    <w:p w14:paraId="53A77C54" w14:textId="0903E2EC" w:rsidR="00BA0A91" w:rsidRDefault="00772ED7">
      <w:pPr>
        <w:pStyle w:val="TOC2"/>
        <w:rPr>
          <w:rFonts w:asciiTheme="minorHAnsi" w:eastAsiaTheme="minorEastAsia" w:hAnsiTheme="minorHAnsi" w:cstheme="minorBidi"/>
          <w:noProof/>
          <w:kern w:val="0"/>
          <w:szCs w:val="22"/>
          <w:lang w:eastAsia="en-AU"/>
        </w:rPr>
      </w:pPr>
      <w:hyperlink w:anchor="_Toc524519411" w:history="1">
        <w:r w:rsidR="00BA0A91" w:rsidRPr="00661CA8">
          <w:rPr>
            <w:rStyle w:val="Hyperlink"/>
            <w:noProof/>
          </w:rPr>
          <w:t>Objective one</w:t>
        </w:r>
        <w:r w:rsidR="00BA0A91">
          <w:rPr>
            <w:noProof/>
            <w:webHidden/>
          </w:rPr>
          <w:tab/>
        </w:r>
        <w:r w:rsidR="00BA0A91">
          <w:rPr>
            <w:noProof/>
            <w:webHidden/>
          </w:rPr>
          <w:fldChar w:fldCharType="begin"/>
        </w:r>
        <w:r w:rsidR="00BA0A91">
          <w:rPr>
            <w:noProof/>
            <w:webHidden/>
          </w:rPr>
          <w:instrText xml:space="preserve"> PAGEREF _Toc524519411 \h </w:instrText>
        </w:r>
        <w:r w:rsidR="00BA0A91">
          <w:rPr>
            <w:noProof/>
            <w:webHidden/>
          </w:rPr>
        </w:r>
        <w:r w:rsidR="00BA0A91">
          <w:rPr>
            <w:noProof/>
            <w:webHidden/>
          </w:rPr>
          <w:fldChar w:fldCharType="separate"/>
        </w:r>
        <w:r w:rsidR="00BA0A91">
          <w:rPr>
            <w:noProof/>
            <w:webHidden/>
          </w:rPr>
          <w:t>14</w:t>
        </w:r>
        <w:r w:rsidR="00BA0A91">
          <w:rPr>
            <w:noProof/>
            <w:webHidden/>
          </w:rPr>
          <w:fldChar w:fldCharType="end"/>
        </w:r>
      </w:hyperlink>
    </w:p>
    <w:p w14:paraId="5B5979F5" w14:textId="24333392" w:rsidR="00BA0A91" w:rsidRDefault="00772ED7">
      <w:pPr>
        <w:pStyle w:val="TOC2"/>
        <w:rPr>
          <w:rFonts w:asciiTheme="minorHAnsi" w:eastAsiaTheme="minorEastAsia" w:hAnsiTheme="minorHAnsi" w:cstheme="minorBidi"/>
          <w:noProof/>
          <w:kern w:val="0"/>
          <w:szCs w:val="22"/>
          <w:lang w:eastAsia="en-AU"/>
        </w:rPr>
      </w:pPr>
      <w:hyperlink w:anchor="_Toc524519412" w:history="1">
        <w:r w:rsidR="00BA0A91" w:rsidRPr="00661CA8">
          <w:rPr>
            <w:rStyle w:val="Hyperlink"/>
            <w:noProof/>
          </w:rPr>
          <w:t>Objective two</w:t>
        </w:r>
        <w:r w:rsidR="00BA0A91">
          <w:rPr>
            <w:noProof/>
            <w:webHidden/>
          </w:rPr>
          <w:tab/>
        </w:r>
        <w:r w:rsidR="00BA0A91">
          <w:rPr>
            <w:noProof/>
            <w:webHidden/>
          </w:rPr>
          <w:fldChar w:fldCharType="begin"/>
        </w:r>
        <w:r w:rsidR="00BA0A91">
          <w:rPr>
            <w:noProof/>
            <w:webHidden/>
          </w:rPr>
          <w:instrText xml:space="preserve"> PAGEREF _Toc524519412 \h </w:instrText>
        </w:r>
        <w:r w:rsidR="00BA0A91">
          <w:rPr>
            <w:noProof/>
            <w:webHidden/>
          </w:rPr>
        </w:r>
        <w:r w:rsidR="00BA0A91">
          <w:rPr>
            <w:noProof/>
            <w:webHidden/>
          </w:rPr>
          <w:fldChar w:fldCharType="separate"/>
        </w:r>
        <w:r w:rsidR="00BA0A91">
          <w:rPr>
            <w:noProof/>
            <w:webHidden/>
          </w:rPr>
          <w:t>18</w:t>
        </w:r>
        <w:r w:rsidR="00BA0A91">
          <w:rPr>
            <w:noProof/>
            <w:webHidden/>
          </w:rPr>
          <w:fldChar w:fldCharType="end"/>
        </w:r>
      </w:hyperlink>
    </w:p>
    <w:p w14:paraId="12A884DF" w14:textId="1C3AC58B" w:rsidR="00BA0A91" w:rsidRDefault="00772ED7">
      <w:pPr>
        <w:pStyle w:val="TOC2"/>
        <w:rPr>
          <w:rFonts w:asciiTheme="minorHAnsi" w:eastAsiaTheme="minorEastAsia" w:hAnsiTheme="minorHAnsi" w:cstheme="minorBidi"/>
          <w:noProof/>
          <w:kern w:val="0"/>
          <w:szCs w:val="22"/>
          <w:lang w:eastAsia="en-AU"/>
        </w:rPr>
      </w:pPr>
      <w:hyperlink w:anchor="_Toc524519413" w:history="1">
        <w:r w:rsidR="00BA0A91" w:rsidRPr="00661CA8">
          <w:rPr>
            <w:rStyle w:val="Hyperlink"/>
            <w:noProof/>
          </w:rPr>
          <w:t>Objective three</w:t>
        </w:r>
        <w:r w:rsidR="00BA0A91">
          <w:rPr>
            <w:noProof/>
            <w:webHidden/>
          </w:rPr>
          <w:tab/>
        </w:r>
        <w:r w:rsidR="00BA0A91">
          <w:rPr>
            <w:noProof/>
            <w:webHidden/>
          </w:rPr>
          <w:fldChar w:fldCharType="begin"/>
        </w:r>
        <w:r w:rsidR="00BA0A91">
          <w:rPr>
            <w:noProof/>
            <w:webHidden/>
          </w:rPr>
          <w:instrText xml:space="preserve"> PAGEREF _Toc524519413 \h </w:instrText>
        </w:r>
        <w:r w:rsidR="00BA0A91">
          <w:rPr>
            <w:noProof/>
            <w:webHidden/>
          </w:rPr>
        </w:r>
        <w:r w:rsidR="00BA0A91">
          <w:rPr>
            <w:noProof/>
            <w:webHidden/>
          </w:rPr>
          <w:fldChar w:fldCharType="separate"/>
        </w:r>
        <w:r w:rsidR="00BA0A91">
          <w:rPr>
            <w:noProof/>
            <w:webHidden/>
          </w:rPr>
          <w:t>22</w:t>
        </w:r>
        <w:r w:rsidR="00BA0A91">
          <w:rPr>
            <w:noProof/>
            <w:webHidden/>
          </w:rPr>
          <w:fldChar w:fldCharType="end"/>
        </w:r>
      </w:hyperlink>
    </w:p>
    <w:p w14:paraId="65FE22D2" w14:textId="7A783F3A" w:rsidR="00BA0A91" w:rsidRDefault="00772ED7">
      <w:pPr>
        <w:pStyle w:val="TOC1"/>
        <w:rPr>
          <w:rFonts w:asciiTheme="minorHAnsi" w:eastAsiaTheme="minorEastAsia" w:hAnsiTheme="minorHAnsi" w:cstheme="minorBidi"/>
          <w:b w:val="0"/>
          <w:bCs w:val="0"/>
          <w:noProof/>
          <w:kern w:val="0"/>
          <w:sz w:val="22"/>
          <w:szCs w:val="22"/>
          <w:lang w:eastAsia="en-AU"/>
        </w:rPr>
      </w:pPr>
      <w:hyperlink w:anchor="_Toc524519414" w:history="1">
        <w:r w:rsidR="00BA0A91" w:rsidRPr="00661CA8">
          <w:rPr>
            <w:rStyle w:val="Hyperlink"/>
            <w:noProof/>
          </w:rPr>
          <w:t>Governance</w:t>
        </w:r>
        <w:r w:rsidR="00BA0A91">
          <w:rPr>
            <w:noProof/>
            <w:webHidden/>
          </w:rPr>
          <w:tab/>
        </w:r>
        <w:r w:rsidR="00BA0A91">
          <w:rPr>
            <w:noProof/>
            <w:webHidden/>
          </w:rPr>
          <w:fldChar w:fldCharType="begin"/>
        </w:r>
        <w:r w:rsidR="00BA0A91">
          <w:rPr>
            <w:noProof/>
            <w:webHidden/>
          </w:rPr>
          <w:instrText xml:space="preserve"> PAGEREF _Toc524519414 \h </w:instrText>
        </w:r>
        <w:r w:rsidR="00BA0A91">
          <w:rPr>
            <w:noProof/>
            <w:webHidden/>
          </w:rPr>
        </w:r>
        <w:r w:rsidR="00BA0A91">
          <w:rPr>
            <w:noProof/>
            <w:webHidden/>
          </w:rPr>
          <w:fldChar w:fldCharType="separate"/>
        </w:r>
        <w:r w:rsidR="00BA0A91">
          <w:rPr>
            <w:noProof/>
            <w:webHidden/>
          </w:rPr>
          <w:t>24</w:t>
        </w:r>
        <w:r w:rsidR="00BA0A91">
          <w:rPr>
            <w:noProof/>
            <w:webHidden/>
          </w:rPr>
          <w:fldChar w:fldCharType="end"/>
        </w:r>
      </w:hyperlink>
    </w:p>
    <w:p w14:paraId="618ABAE3" w14:textId="6CB8E9F2" w:rsidR="00BA0A91" w:rsidRDefault="00772ED7">
      <w:pPr>
        <w:pStyle w:val="TOC2"/>
        <w:rPr>
          <w:rFonts w:asciiTheme="minorHAnsi" w:eastAsiaTheme="minorEastAsia" w:hAnsiTheme="minorHAnsi" w:cstheme="minorBidi"/>
          <w:noProof/>
          <w:kern w:val="0"/>
          <w:szCs w:val="22"/>
          <w:lang w:eastAsia="en-AU"/>
        </w:rPr>
      </w:pPr>
      <w:hyperlink w:anchor="_Toc524519415" w:history="1">
        <w:r w:rsidR="00BA0A91" w:rsidRPr="00661CA8">
          <w:rPr>
            <w:rStyle w:val="Hyperlink"/>
            <w:noProof/>
          </w:rPr>
          <w:t>Executive management</w:t>
        </w:r>
        <w:r w:rsidR="00BA0A91">
          <w:rPr>
            <w:noProof/>
            <w:webHidden/>
          </w:rPr>
          <w:tab/>
        </w:r>
        <w:r w:rsidR="00BA0A91">
          <w:rPr>
            <w:noProof/>
            <w:webHidden/>
          </w:rPr>
          <w:fldChar w:fldCharType="begin"/>
        </w:r>
        <w:r w:rsidR="00BA0A91">
          <w:rPr>
            <w:noProof/>
            <w:webHidden/>
          </w:rPr>
          <w:instrText xml:space="preserve"> PAGEREF _Toc524519415 \h </w:instrText>
        </w:r>
        <w:r w:rsidR="00BA0A91">
          <w:rPr>
            <w:noProof/>
            <w:webHidden/>
          </w:rPr>
        </w:r>
        <w:r w:rsidR="00BA0A91">
          <w:rPr>
            <w:noProof/>
            <w:webHidden/>
          </w:rPr>
          <w:fldChar w:fldCharType="separate"/>
        </w:r>
        <w:r w:rsidR="00BA0A91">
          <w:rPr>
            <w:noProof/>
            <w:webHidden/>
          </w:rPr>
          <w:t>24</w:t>
        </w:r>
        <w:r w:rsidR="00BA0A91">
          <w:rPr>
            <w:noProof/>
            <w:webHidden/>
          </w:rPr>
          <w:fldChar w:fldCharType="end"/>
        </w:r>
      </w:hyperlink>
    </w:p>
    <w:p w14:paraId="2230862F" w14:textId="13C6C4B5" w:rsidR="00BA0A91" w:rsidRDefault="00772ED7">
      <w:pPr>
        <w:pStyle w:val="TOC2"/>
        <w:rPr>
          <w:rFonts w:asciiTheme="minorHAnsi" w:eastAsiaTheme="minorEastAsia" w:hAnsiTheme="minorHAnsi" w:cstheme="minorBidi"/>
          <w:noProof/>
          <w:kern w:val="0"/>
          <w:szCs w:val="22"/>
          <w:lang w:eastAsia="en-AU"/>
        </w:rPr>
      </w:pPr>
      <w:hyperlink w:anchor="_Toc524519416" w:history="1">
        <w:r w:rsidR="00BA0A91" w:rsidRPr="00661CA8">
          <w:rPr>
            <w:rStyle w:val="Hyperlink"/>
            <w:noProof/>
          </w:rPr>
          <w:t>Committees</w:t>
        </w:r>
        <w:r w:rsidR="00BA0A91">
          <w:rPr>
            <w:noProof/>
            <w:webHidden/>
          </w:rPr>
          <w:tab/>
        </w:r>
        <w:r w:rsidR="00BA0A91">
          <w:rPr>
            <w:noProof/>
            <w:webHidden/>
          </w:rPr>
          <w:fldChar w:fldCharType="begin"/>
        </w:r>
        <w:r w:rsidR="00BA0A91">
          <w:rPr>
            <w:noProof/>
            <w:webHidden/>
          </w:rPr>
          <w:instrText xml:space="preserve"> PAGEREF _Toc524519416 \h </w:instrText>
        </w:r>
        <w:r w:rsidR="00BA0A91">
          <w:rPr>
            <w:noProof/>
            <w:webHidden/>
          </w:rPr>
        </w:r>
        <w:r w:rsidR="00BA0A91">
          <w:rPr>
            <w:noProof/>
            <w:webHidden/>
          </w:rPr>
          <w:fldChar w:fldCharType="separate"/>
        </w:r>
        <w:r w:rsidR="00BA0A91">
          <w:rPr>
            <w:noProof/>
            <w:webHidden/>
          </w:rPr>
          <w:t>26</w:t>
        </w:r>
        <w:r w:rsidR="00BA0A91">
          <w:rPr>
            <w:noProof/>
            <w:webHidden/>
          </w:rPr>
          <w:fldChar w:fldCharType="end"/>
        </w:r>
      </w:hyperlink>
    </w:p>
    <w:p w14:paraId="3A988C3F" w14:textId="522971BC" w:rsidR="00BA0A91" w:rsidRDefault="00772ED7">
      <w:pPr>
        <w:pStyle w:val="TOC2"/>
        <w:rPr>
          <w:rFonts w:asciiTheme="minorHAnsi" w:eastAsiaTheme="minorEastAsia" w:hAnsiTheme="minorHAnsi" w:cstheme="minorBidi"/>
          <w:noProof/>
          <w:kern w:val="0"/>
          <w:szCs w:val="22"/>
          <w:lang w:eastAsia="en-AU"/>
        </w:rPr>
      </w:pPr>
      <w:hyperlink w:anchor="_Toc524519417" w:history="1">
        <w:r w:rsidR="00BA0A91" w:rsidRPr="00661CA8">
          <w:rPr>
            <w:rStyle w:val="Hyperlink"/>
            <w:noProof/>
          </w:rPr>
          <w:t>Ethics and Code of Conduct</w:t>
        </w:r>
        <w:r w:rsidR="00BA0A91">
          <w:rPr>
            <w:noProof/>
            <w:webHidden/>
          </w:rPr>
          <w:tab/>
        </w:r>
        <w:r w:rsidR="00BA0A91">
          <w:rPr>
            <w:noProof/>
            <w:webHidden/>
          </w:rPr>
          <w:fldChar w:fldCharType="begin"/>
        </w:r>
        <w:r w:rsidR="00BA0A91">
          <w:rPr>
            <w:noProof/>
            <w:webHidden/>
          </w:rPr>
          <w:instrText xml:space="preserve"> PAGEREF _Toc524519417 \h </w:instrText>
        </w:r>
        <w:r w:rsidR="00BA0A91">
          <w:rPr>
            <w:noProof/>
            <w:webHidden/>
          </w:rPr>
        </w:r>
        <w:r w:rsidR="00BA0A91">
          <w:rPr>
            <w:noProof/>
            <w:webHidden/>
          </w:rPr>
          <w:fldChar w:fldCharType="separate"/>
        </w:r>
        <w:r w:rsidR="00BA0A91">
          <w:rPr>
            <w:noProof/>
            <w:webHidden/>
          </w:rPr>
          <w:t>28</w:t>
        </w:r>
        <w:r w:rsidR="00BA0A91">
          <w:rPr>
            <w:noProof/>
            <w:webHidden/>
          </w:rPr>
          <w:fldChar w:fldCharType="end"/>
        </w:r>
      </w:hyperlink>
    </w:p>
    <w:p w14:paraId="09491831" w14:textId="1F745112" w:rsidR="00BA0A91" w:rsidRDefault="00772ED7">
      <w:pPr>
        <w:pStyle w:val="TOC2"/>
        <w:rPr>
          <w:rFonts w:asciiTheme="minorHAnsi" w:eastAsiaTheme="minorEastAsia" w:hAnsiTheme="minorHAnsi" w:cstheme="minorBidi"/>
          <w:noProof/>
          <w:kern w:val="0"/>
          <w:szCs w:val="22"/>
          <w:lang w:eastAsia="en-AU"/>
        </w:rPr>
      </w:pPr>
      <w:hyperlink w:anchor="_Toc524519418" w:history="1">
        <w:r w:rsidR="00BA0A91" w:rsidRPr="00661CA8">
          <w:rPr>
            <w:rStyle w:val="Hyperlink"/>
            <w:noProof/>
          </w:rPr>
          <w:t>Risk management and accountability</w:t>
        </w:r>
        <w:r w:rsidR="00BA0A91">
          <w:rPr>
            <w:noProof/>
            <w:webHidden/>
          </w:rPr>
          <w:tab/>
        </w:r>
        <w:r w:rsidR="00BA0A91">
          <w:rPr>
            <w:noProof/>
            <w:webHidden/>
          </w:rPr>
          <w:fldChar w:fldCharType="begin"/>
        </w:r>
        <w:r w:rsidR="00BA0A91">
          <w:rPr>
            <w:noProof/>
            <w:webHidden/>
          </w:rPr>
          <w:instrText xml:space="preserve"> PAGEREF _Toc524519418 \h </w:instrText>
        </w:r>
        <w:r w:rsidR="00BA0A91">
          <w:rPr>
            <w:noProof/>
            <w:webHidden/>
          </w:rPr>
        </w:r>
        <w:r w:rsidR="00BA0A91">
          <w:rPr>
            <w:noProof/>
            <w:webHidden/>
          </w:rPr>
          <w:fldChar w:fldCharType="separate"/>
        </w:r>
        <w:r w:rsidR="00BA0A91">
          <w:rPr>
            <w:noProof/>
            <w:webHidden/>
          </w:rPr>
          <w:t>29</w:t>
        </w:r>
        <w:r w:rsidR="00BA0A91">
          <w:rPr>
            <w:noProof/>
            <w:webHidden/>
          </w:rPr>
          <w:fldChar w:fldCharType="end"/>
        </w:r>
      </w:hyperlink>
    </w:p>
    <w:p w14:paraId="5431D855" w14:textId="22405698" w:rsidR="00BA0A91" w:rsidRDefault="00772ED7">
      <w:pPr>
        <w:pStyle w:val="TOC2"/>
        <w:rPr>
          <w:rFonts w:asciiTheme="minorHAnsi" w:eastAsiaTheme="minorEastAsia" w:hAnsiTheme="minorHAnsi" w:cstheme="minorBidi"/>
          <w:noProof/>
          <w:kern w:val="0"/>
          <w:szCs w:val="22"/>
          <w:lang w:eastAsia="en-AU"/>
        </w:rPr>
      </w:pPr>
      <w:hyperlink w:anchor="_Toc524519419" w:history="1">
        <w:r w:rsidR="00BA0A91" w:rsidRPr="00661CA8">
          <w:rPr>
            <w:rStyle w:val="Hyperlink"/>
            <w:noProof/>
          </w:rPr>
          <w:t>Human resources</w:t>
        </w:r>
        <w:r w:rsidR="00BA0A91">
          <w:rPr>
            <w:noProof/>
            <w:webHidden/>
          </w:rPr>
          <w:tab/>
        </w:r>
        <w:r w:rsidR="00BA0A91">
          <w:rPr>
            <w:noProof/>
            <w:webHidden/>
          </w:rPr>
          <w:fldChar w:fldCharType="begin"/>
        </w:r>
        <w:r w:rsidR="00BA0A91">
          <w:rPr>
            <w:noProof/>
            <w:webHidden/>
          </w:rPr>
          <w:instrText xml:space="preserve"> PAGEREF _Toc524519419 \h </w:instrText>
        </w:r>
        <w:r w:rsidR="00BA0A91">
          <w:rPr>
            <w:noProof/>
            <w:webHidden/>
          </w:rPr>
        </w:r>
        <w:r w:rsidR="00BA0A91">
          <w:rPr>
            <w:noProof/>
            <w:webHidden/>
          </w:rPr>
          <w:fldChar w:fldCharType="separate"/>
        </w:r>
        <w:r w:rsidR="00BA0A91">
          <w:rPr>
            <w:noProof/>
            <w:webHidden/>
          </w:rPr>
          <w:t>32</w:t>
        </w:r>
        <w:r w:rsidR="00BA0A91">
          <w:rPr>
            <w:noProof/>
            <w:webHidden/>
          </w:rPr>
          <w:fldChar w:fldCharType="end"/>
        </w:r>
      </w:hyperlink>
    </w:p>
    <w:p w14:paraId="17450821" w14:textId="0BCB65FE" w:rsidR="00BA0A91" w:rsidRDefault="00772ED7">
      <w:pPr>
        <w:pStyle w:val="TOC1"/>
        <w:rPr>
          <w:rFonts w:asciiTheme="minorHAnsi" w:eastAsiaTheme="minorEastAsia" w:hAnsiTheme="minorHAnsi" w:cstheme="minorBidi"/>
          <w:b w:val="0"/>
          <w:bCs w:val="0"/>
          <w:noProof/>
          <w:kern w:val="0"/>
          <w:sz w:val="22"/>
          <w:szCs w:val="22"/>
          <w:lang w:eastAsia="en-AU"/>
        </w:rPr>
      </w:pPr>
      <w:hyperlink w:anchor="_Toc524519420" w:history="1">
        <w:r w:rsidR="00BA0A91" w:rsidRPr="00661CA8">
          <w:rPr>
            <w:rStyle w:val="Hyperlink"/>
            <w:noProof/>
          </w:rPr>
          <w:t>Financial statements – Table of Contents</w:t>
        </w:r>
        <w:r w:rsidR="00BA0A91">
          <w:rPr>
            <w:noProof/>
            <w:webHidden/>
          </w:rPr>
          <w:tab/>
        </w:r>
        <w:r w:rsidR="00BA0A91">
          <w:rPr>
            <w:noProof/>
            <w:webHidden/>
          </w:rPr>
          <w:fldChar w:fldCharType="begin"/>
        </w:r>
        <w:r w:rsidR="00BA0A91">
          <w:rPr>
            <w:noProof/>
            <w:webHidden/>
          </w:rPr>
          <w:instrText xml:space="preserve"> PAGEREF _Toc524519420 \h </w:instrText>
        </w:r>
        <w:r w:rsidR="00BA0A91">
          <w:rPr>
            <w:noProof/>
            <w:webHidden/>
          </w:rPr>
        </w:r>
        <w:r w:rsidR="00BA0A91">
          <w:rPr>
            <w:noProof/>
            <w:webHidden/>
          </w:rPr>
          <w:fldChar w:fldCharType="separate"/>
        </w:r>
        <w:r w:rsidR="00BA0A91">
          <w:rPr>
            <w:noProof/>
            <w:webHidden/>
          </w:rPr>
          <w:t>35</w:t>
        </w:r>
        <w:r w:rsidR="00BA0A91">
          <w:rPr>
            <w:noProof/>
            <w:webHidden/>
          </w:rPr>
          <w:fldChar w:fldCharType="end"/>
        </w:r>
      </w:hyperlink>
    </w:p>
    <w:p w14:paraId="4E5585E5" w14:textId="01A2664D" w:rsidR="00BA0A91" w:rsidRDefault="00772ED7">
      <w:pPr>
        <w:pStyle w:val="TOC2"/>
        <w:rPr>
          <w:rFonts w:asciiTheme="minorHAnsi" w:eastAsiaTheme="minorEastAsia" w:hAnsiTheme="minorHAnsi" w:cstheme="minorBidi"/>
          <w:noProof/>
          <w:kern w:val="0"/>
          <w:szCs w:val="22"/>
          <w:lang w:eastAsia="en-AU"/>
        </w:rPr>
      </w:pPr>
      <w:hyperlink w:anchor="_Toc524519421" w:history="1">
        <w:r w:rsidR="00BA0A91" w:rsidRPr="00661CA8">
          <w:rPr>
            <w:rStyle w:val="Hyperlink"/>
            <w:noProof/>
          </w:rPr>
          <w:t>Statement of comprehensive income</w:t>
        </w:r>
        <w:r w:rsidR="00BA0A91">
          <w:rPr>
            <w:noProof/>
            <w:webHidden/>
          </w:rPr>
          <w:tab/>
        </w:r>
        <w:r w:rsidR="00BA0A91">
          <w:rPr>
            <w:noProof/>
            <w:webHidden/>
          </w:rPr>
          <w:fldChar w:fldCharType="begin"/>
        </w:r>
        <w:r w:rsidR="00BA0A91">
          <w:rPr>
            <w:noProof/>
            <w:webHidden/>
          </w:rPr>
          <w:instrText xml:space="preserve"> PAGEREF _Toc524519421 \h </w:instrText>
        </w:r>
        <w:r w:rsidR="00BA0A91">
          <w:rPr>
            <w:noProof/>
            <w:webHidden/>
          </w:rPr>
        </w:r>
        <w:r w:rsidR="00BA0A91">
          <w:rPr>
            <w:noProof/>
            <w:webHidden/>
          </w:rPr>
          <w:fldChar w:fldCharType="separate"/>
        </w:r>
        <w:r w:rsidR="00BA0A91">
          <w:rPr>
            <w:noProof/>
            <w:webHidden/>
          </w:rPr>
          <w:t>36</w:t>
        </w:r>
        <w:r w:rsidR="00BA0A91">
          <w:rPr>
            <w:noProof/>
            <w:webHidden/>
          </w:rPr>
          <w:fldChar w:fldCharType="end"/>
        </w:r>
      </w:hyperlink>
    </w:p>
    <w:p w14:paraId="41FE8CF7" w14:textId="463CD258" w:rsidR="00BA0A91" w:rsidRDefault="00772ED7">
      <w:pPr>
        <w:pStyle w:val="TOC2"/>
        <w:rPr>
          <w:rFonts w:asciiTheme="minorHAnsi" w:eastAsiaTheme="minorEastAsia" w:hAnsiTheme="minorHAnsi" w:cstheme="minorBidi"/>
          <w:noProof/>
          <w:kern w:val="0"/>
          <w:szCs w:val="22"/>
          <w:lang w:eastAsia="en-AU"/>
        </w:rPr>
      </w:pPr>
      <w:hyperlink w:anchor="_Toc524519422" w:history="1">
        <w:r w:rsidR="00BA0A91" w:rsidRPr="00661CA8">
          <w:rPr>
            <w:rStyle w:val="Hyperlink"/>
            <w:noProof/>
          </w:rPr>
          <w:t>Statement of financial position</w:t>
        </w:r>
        <w:r w:rsidR="00BA0A91">
          <w:rPr>
            <w:noProof/>
            <w:webHidden/>
          </w:rPr>
          <w:tab/>
        </w:r>
        <w:r w:rsidR="00BA0A91">
          <w:rPr>
            <w:noProof/>
            <w:webHidden/>
          </w:rPr>
          <w:fldChar w:fldCharType="begin"/>
        </w:r>
        <w:r w:rsidR="00BA0A91">
          <w:rPr>
            <w:noProof/>
            <w:webHidden/>
          </w:rPr>
          <w:instrText xml:space="preserve"> PAGEREF _Toc524519422 \h </w:instrText>
        </w:r>
        <w:r w:rsidR="00BA0A91">
          <w:rPr>
            <w:noProof/>
            <w:webHidden/>
          </w:rPr>
        </w:r>
        <w:r w:rsidR="00BA0A91">
          <w:rPr>
            <w:noProof/>
            <w:webHidden/>
          </w:rPr>
          <w:fldChar w:fldCharType="separate"/>
        </w:r>
        <w:r w:rsidR="00BA0A91">
          <w:rPr>
            <w:noProof/>
            <w:webHidden/>
          </w:rPr>
          <w:t>37</w:t>
        </w:r>
        <w:r w:rsidR="00BA0A91">
          <w:rPr>
            <w:noProof/>
            <w:webHidden/>
          </w:rPr>
          <w:fldChar w:fldCharType="end"/>
        </w:r>
      </w:hyperlink>
    </w:p>
    <w:p w14:paraId="5D72B359" w14:textId="247FB72A" w:rsidR="00BA0A91" w:rsidRDefault="00772ED7">
      <w:pPr>
        <w:pStyle w:val="TOC2"/>
        <w:rPr>
          <w:rFonts w:asciiTheme="minorHAnsi" w:eastAsiaTheme="minorEastAsia" w:hAnsiTheme="minorHAnsi" w:cstheme="minorBidi"/>
          <w:noProof/>
          <w:kern w:val="0"/>
          <w:szCs w:val="22"/>
          <w:lang w:eastAsia="en-AU"/>
        </w:rPr>
      </w:pPr>
      <w:hyperlink w:anchor="_Toc524519423" w:history="1">
        <w:r w:rsidR="00BA0A91" w:rsidRPr="00661CA8">
          <w:rPr>
            <w:rStyle w:val="Hyperlink"/>
            <w:noProof/>
          </w:rPr>
          <w:t>Statement of changes in equity</w:t>
        </w:r>
        <w:r w:rsidR="00BA0A91">
          <w:rPr>
            <w:noProof/>
            <w:webHidden/>
          </w:rPr>
          <w:tab/>
        </w:r>
        <w:r w:rsidR="00BA0A91">
          <w:rPr>
            <w:noProof/>
            <w:webHidden/>
          </w:rPr>
          <w:fldChar w:fldCharType="begin"/>
        </w:r>
        <w:r w:rsidR="00BA0A91">
          <w:rPr>
            <w:noProof/>
            <w:webHidden/>
          </w:rPr>
          <w:instrText xml:space="preserve"> PAGEREF _Toc524519423 \h </w:instrText>
        </w:r>
        <w:r w:rsidR="00BA0A91">
          <w:rPr>
            <w:noProof/>
            <w:webHidden/>
          </w:rPr>
        </w:r>
        <w:r w:rsidR="00BA0A91">
          <w:rPr>
            <w:noProof/>
            <w:webHidden/>
          </w:rPr>
          <w:fldChar w:fldCharType="separate"/>
        </w:r>
        <w:r w:rsidR="00BA0A91">
          <w:rPr>
            <w:noProof/>
            <w:webHidden/>
          </w:rPr>
          <w:t>38</w:t>
        </w:r>
        <w:r w:rsidR="00BA0A91">
          <w:rPr>
            <w:noProof/>
            <w:webHidden/>
          </w:rPr>
          <w:fldChar w:fldCharType="end"/>
        </w:r>
      </w:hyperlink>
    </w:p>
    <w:p w14:paraId="14575273" w14:textId="0FC28A86" w:rsidR="00BA0A91" w:rsidRDefault="00772ED7">
      <w:pPr>
        <w:pStyle w:val="TOC2"/>
        <w:rPr>
          <w:rFonts w:asciiTheme="minorHAnsi" w:eastAsiaTheme="minorEastAsia" w:hAnsiTheme="minorHAnsi" w:cstheme="minorBidi"/>
          <w:noProof/>
          <w:kern w:val="0"/>
          <w:szCs w:val="22"/>
          <w:lang w:eastAsia="en-AU"/>
        </w:rPr>
      </w:pPr>
      <w:hyperlink w:anchor="_Toc524519424" w:history="1">
        <w:r w:rsidR="00BA0A91" w:rsidRPr="00661CA8">
          <w:rPr>
            <w:rStyle w:val="Hyperlink"/>
            <w:noProof/>
          </w:rPr>
          <w:t>Statement of cash flows</w:t>
        </w:r>
        <w:r w:rsidR="00BA0A91">
          <w:rPr>
            <w:noProof/>
            <w:webHidden/>
          </w:rPr>
          <w:tab/>
        </w:r>
        <w:r w:rsidR="00BA0A91">
          <w:rPr>
            <w:noProof/>
            <w:webHidden/>
          </w:rPr>
          <w:fldChar w:fldCharType="begin"/>
        </w:r>
        <w:r w:rsidR="00BA0A91">
          <w:rPr>
            <w:noProof/>
            <w:webHidden/>
          </w:rPr>
          <w:instrText xml:space="preserve"> PAGEREF _Toc524519424 \h </w:instrText>
        </w:r>
        <w:r w:rsidR="00BA0A91">
          <w:rPr>
            <w:noProof/>
            <w:webHidden/>
          </w:rPr>
        </w:r>
        <w:r w:rsidR="00BA0A91">
          <w:rPr>
            <w:noProof/>
            <w:webHidden/>
          </w:rPr>
          <w:fldChar w:fldCharType="separate"/>
        </w:r>
        <w:r w:rsidR="00BA0A91">
          <w:rPr>
            <w:noProof/>
            <w:webHidden/>
          </w:rPr>
          <w:t>39</w:t>
        </w:r>
        <w:r w:rsidR="00BA0A91">
          <w:rPr>
            <w:noProof/>
            <w:webHidden/>
          </w:rPr>
          <w:fldChar w:fldCharType="end"/>
        </w:r>
      </w:hyperlink>
    </w:p>
    <w:p w14:paraId="7502B594" w14:textId="3D4907C0" w:rsidR="00BA0A91" w:rsidRDefault="00772ED7">
      <w:pPr>
        <w:pStyle w:val="TOC2"/>
        <w:rPr>
          <w:rFonts w:asciiTheme="minorHAnsi" w:eastAsiaTheme="minorEastAsia" w:hAnsiTheme="minorHAnsi" w:cstheme="minorBidi"/>
          <w:noProof/>
          <w:kern w:val="0"/>
          <w:szCs w:val="22"/>
          <w:lang w:eastAsia="en-AU"/>
        </w:rPr>
      </w:pPr>
      <w:hyperlink w:anchor="_Toc524519425" w:history="1">
        <w:r w:rsidR="00BA0A91" w:rsidRPr="00661CA8">
          <w:rPr>
            <w:rStyle w:val="Hyperlink"/>
            <w:noProof/>
          </w:rPr>
          <w:t>Notes to and forming part of the financial statements 2017-18</w:t>
        </w:r>
        <w:r w:rsidR="00BA0A91">
          <w:rPr>
            <w:noProof/>
            <w:webHidden/>
          </w:rPr>
          <w:tab/>
        </w:r>
        <w:r w:rsidR="00BA0A91">
          <w:rPr>
            <w:noProof/>
            <w:webHidden/>
          </w:rPr>
          <w:fldChar w:fldCharType="begin"/>
        </w:r>
        <w:r w:rsidR="00BA0A91">
          <w:rPr>
            <w:noProof/>
            <w:webHidden/>
          </w:rPr>
          <w:instrText xml:space="preserve"> PAGEREF _Toc524519425 \h </w:instrText>
        </w:r>
        <w:r w:rsidR="00BA0A91">
          <w:rPr>
            <w:noProof/>
            <w:webHidden/>
          </w:rPr>
        </w:r>
        <w:r w:rsidR="00BA0A91">
          <w:rPr>
            <w:noProof/>
            <w:webHidden/>
          </w:rPr>
          <w:fldChar w:fldCharType="separate"/>
        </w:r>
        <w:r w:rsidR="00BA0A91">
          <w:rPr>
            <w:noProof/>
            <w:webHidden/>
          </w:rPr>
          <w:t>40</w:t>
        </w:r>
        <w:r w:rsidR="00BA0A91">
          <w:rPr>
            <w:noProof/>
            <w:webHidden/>
          </w:rPr>
          <w:fldChar w:fldCharType="end"/>
        </w:r>
      </w:hyperlink>
    </w:p>
    <w:p w14:paraId="03FCEAA0" w14:textId="7763D5B6" w:rsidR="00BA0A91" w:rsidRDefault="00772ED7">
      <w:pPr>
        <w:pStyle w:val="TOC2"/>
        <w:rPr>
          <w:rFonts w:asciiTheme="minorHAnsi" w:eastAsiaTheme="minorEastAsia" w:hAnsiTheme="minorHAnsi" w:cstheme="minorBidi"/>
          <w:noProof/>
          <w:kern w:val="0"/>
          <w:szCs w:val="22"/>
          <w:lang w:eastAsia="en-AU"/>
        </w:rPr>
      </w:pPr>
      <w:hyperlink w:anchor="_Toc524519426" w:history="1">
        <w:r w:rsidR="00BA0A91" w:rsidRPr="00661CA8">
          <w:rPr>
            <w:rStyle w:val="Hyperlink"/>
            <w:noProof/>
          </w:rPr>
          <w:t>Management certificate</w:t>
        </w:r>
        <w:r w:rsidR="00BA0A91">
          <w:rPr>
            <w:noProof/>
            <w:webHidden/>
          </w:rPr>
          <w:tab/>
        </w:r>
        <w:r w:rsidR="00BA0A91">
          <w:rPr>
            <w:noProof/>
            <w:webHidden/>
          </w:rPr>
          <w:fldChar w:fldCharType="begin"/>
        </w:r>
        <w:r w:rsidR="00BA0A91">
          <w:rPr>
            <w:noProof/>
            <w:webHidden/>
          </w:rPr>
          <w:instrText xml:space="preserve"> PAGEREF _Toc524519426 \h </w:instrText>
        </w:r>
        <w:r w:rsidR="00BA0A91">
          <w:rPr>
            <w:noProof/>
            <w:webHidden/>
          </w:rPr>
        </w:r>
        <w:r w:rsidR="00BA0A91">
          <w:rPr>
            <w:noProof/>
            <w:webHidden/>
          </w:rPr>
          <w:fldChar w:fldCharType="separate"/>
        </w:r>
        <w:r w:rsidR="00BA0A91">
          <w:rPr>
            <w:noProof/>
            <w:webHidden/>
          </w:rPr>
          <w:t>51</w:t>
        </w:r>
        <w:r w:rsidR="00BA0A91">
          <w:rPr>
            <w:noProof/>
            <w:webHidden/>
          </w:rPr>
          <w:fldChar w:fldCharType="end"/>
        </w:r>
      </w:hyperlink>
    </w:p>
    <w:p w14:paraId="18C1B958" w14:textId="6D1B0E76" w:rsidR="00BA0A91" w:rsidRDefault="00772ED7">
      <w:pPr>
        <w:pStyle w:val="TOC2"/>
        <w:rPr>
          <w:rFonts w:asciiTheme="minorHAnsi" w:eastAsiaTheme="minorEastAsia" w:hAnsiTheme="minorHAnsi" w:cstheme="minorBidi"/>
          <w:noProof/>
          <w:kern w:val="0"/>
          <w:szCs w:val="22"/>
          <w:lang w:eastAsia="en-AU"/>
        </w:rPr>
      </w:pPr>
      <w:hyperlink w:anchor="_Toc524519427" w:history="1">
        <w:r w:rsidR="00BA0A91" w:rsidRPr="00661CA8">
          <w:rPr>
            <w:rStyle w:val="Hyperlink"/>
            <w:noProof/>
          </w:rPr>
          <w:t>Independent Auditor’s report</w:t>
        </w:r>
        <w:r w:rsidR="00BA0A91">
          <w:rPr>
            <w:noProof/>
            <w:webHidden/>
          </w:rPr>
          <w:tab/>
        </w:r>
        <w:r w:rsidR="00BA0A91">
          <w:rPr>
            <w:noProof/>
            <w:webHidden/>
          </w:rPr>
          <w:fldChar w:fldCharType="begin"/>
        </w:r>
        <w:r w:rsidR="00BA0A91">
          <w:rPr>
            <w:noProof/>
            <w:webHidden/>
          </w:rPr>
          <w:instrText xml:space="preserve"> PAGEREF _Toc524519427 \h </w:instrText>
        </w:r>
        <w:r w:rsidR="00BA0A91">
          <w:rPr>
            <w:noProof/>
            <w:webHidden/>
          </w:rPr>
        </w:r>
        <w:r w:rsidR="00BA0A91">
          <w:rPr>
            <w:noProof/>
            <w:webHidden/>
          </w:rPr>
          <w:fldChar w:fldCharType="separate"/>
        </w:r>
        <w:r w:rsidR="00BA0A91">
          <w:rPr>
            <w:noProof/>
            <w:webHidden/>
          </w:rPr>
          <w:t>52</w:t>
        </w:r>
        <w:r w:rsidR="00BA0A91">
          <w:rPr>
            <w:noProof/>
            <w:webHidden/>
          </w:rPr>
          <w:fldChar w:fldCharType="end"/>
        </w:r>
      </w:hyperlink>
    </w:p>
    <w:p w14:paraId="5AF027CE" w14:textId="254D0C25" w:rsidR="00BA0A91" w:rsidRDefault="00772ED7">
      <w:pPr>
        <w:pStyle w:val="TOC1"/>
        <w:rPr>
          <w:rFonts w:asciiTheme="minorHAnsi" w:eastAsiaTheme="minorEastAsia" w:hAnsiTheme="minorHAnsi" w:cstheme="minorBidi"/>
          <w:b w:val="0"/>
          <w:bCs w:val="0"/>
          <w:noProof/>
          <w:kern w:val="0"/>
          <w:sz w:val="22"/>
          <w:szCs w:val="22"/>
          <w:lang w:eastAsia="en-AU"/>
        </w:rPr>
      </w:pPr>
      <w:hyperlink w:anchor="_Toc524519428" w:history="1">
        <w:r w:rsidR="00BA0A91" w:rsidRPr="00661CA8">
          <w:rPr>
            <w:rStyle w:val="Hyperlink"/>
            <w:noProof/>
          </w:rPr>
          <w:t>Appendices</w:t>
        </w:r>
        <w:r w:rsidR="00BA0A91">
          <w:rPr>
            <w:noProof/>
            <w:webHidden/>
          </w:rPr>
          <w:tab/>
        </w:r>
        <w:r w:rsidR="00BA0A91">
          <w:rPr>
            <w:noProof/>
            <w:webHidden/>
          </w:rPr>
          <w:fldChar w:fldCharType="begin"/>
        </w:r>
        <w:r w:rsidR="00BA0A91">
          <w:rPr>
            <w:noProof/>
            <w:webHidden/>
          </w:rPr>
          <w:instrText xml:space="preserve"> PAGEREF _Toc524519428 \h </w:instrText>
        </w:r>
        <w:r w:rsidR="00BA0A91">
          <w:rPr>
            <w:noProof/>
            <w:webHidden/>
          </w:rPr>
        </w:r>
        <w:r w:rsidR="00BA0A91">
          <w:rPr>
            <w:noProof/>
            <w:webHidden/>
          </w:rPr>
          <w:fldChar w:fldCharType="separate"/>
        </w:r>
        <w:r w:rsidR="00BA0A91">
          <w:rPr>
            <w:noProof/>
            <w:webHidden/>
          </w:rPr>
          <w:t>55</w:t>
        </w:r>
        <w:r w:rsidR="00BA0A91">
          <w:rPr>
            <w:noProof/>
            <w:webHidden/>
          </w:rPr>
          <w:fldChar w:fldCharType="end"/>
        </w:r>
      </w:hyperlink>
    </w:p>
    <w:p w14:paraId="4A33E493" w14:textId="6C077AB0" w:rsidR="00BA0A91" w:rsidRDefault="00772ED7">
      <w:pPr>
        <w:pStyle w:val="TOC2"/>
        <w:rPr>
          <w:rFonts w:asciiTheme="minorHAnsi" w:eastAsiaTheme="minorEastAsia" w:hAnsiTheme="minorHAnsi" w:cstheme="minorBidi"/>
          <w:noProof/>
          <w:kern w:val="0"/>
          <w:szCs w:val="22"/>
          <w:lang w:eastAsia="en-AU"/>
        </w:rPr>
      </w:pPr>
      <w:hyperlink w:anchor="_Toc524519429" w:history="1">
        <w:r w:rsidR="00BA0A91" w:rsidRPr="00661CA8">
          <w:rPr>
            <w:rStyle w:val="Hyperlink"/>
            <w:noProof/>
          </w:rPr>
          <w:t>Acronyms</w:t>
        </w:r>
        <w:r w:rsidR="00BA0A91">
          <w:rPr>
            <w:noProof/>
            <w:webHidden/>
          </w:rPr>
          <w:tab/>
        </w:r>
        <w:r w:rsidR="00BA0A91">
          <w:rPr>
            <w:noProof/>
            <w:webHidden/>
          </w:rPr>
          <w:fldChar w:fldCharType="begin"/>
        </w:r>
        <w:r w:rsidR="00BA0A91">
          <w:rPr>
            <w:noProof/>
            <w:webHidden/>
          </w:rPr>
          <w:instrText xml:space="preserve"> PAGEREF _Toc524519429 \h </w:instrText>
        </w:r>
        <w:r w:rsidR="00BA0A91">
          <w:rPr>
            <w:noProof/>
            <w:webHidden/>
          </w:rPr>
        </w:r>
        <w:r w:rsidR="00BA0A91">
          <w:rPr>
            <w:noProof/>
            <w:webHidden/>
          </w:rPr>
          <w:fldChar w:fldCharType="separate"/>
        </w:r>
        <w:r w:rsidR="00BA0A91">
          <w:rPr>
            <w:noProof/>
            <w:webHidden/>
          </w:rPr>
          <w:t>55</w:t>
        </w:r>
        <w:r w:rsidR="00BA0A91">
          <w:rPr>
            <w:noProof/>
            <w:webHidden/>
          </w:rPr>
          <w:fldChar w:fldCharType="end"/>
        </w:r>
      </w:hyperlink>
    </w:p>
    <w:p w14:paraId="43D4B3F8" w14:textId="223B902E" w:rsidR="00BA0A91" w:rsidRDefault="00772ED7">
      <w:pPr>
        <w:pStyle w:val="TOC2"/>
        <w:rPr>
          <w:rFonts w:asciiTheme="minorHAnsi" w:eastAsiaTheme="minorEastAsia" w:hAnsiTheme="minorHAnsi" w:cstheme="minorBidi"/>
          <w:noProof/>
          <w:kern w:val="0"/>
          <w:szCs w:val="22"/>
          <w:lang w:eastAsia="en-AU"/>
        </w:rPr>
      </w:pPr>
      <w:hyperlink w:anchor="_Toc524519430" w:history="1">
        <w:r w:rsidR="00BA0A91" w:rsidRPr="00661CA8">
          <w:rPr>
            <w:rStyle w:val="Hyperlink"/>
            <w:noProof/>
          </w:rPr>
          <w:t>Compliance checklist</w:t>
        </w:r>
        <w:r w:rsidR="00BA0A91">
          <w:rPr>
            <w:noProof/>
            <w:webHidden/>
          </w:rPr>
          <w:tab/>
        </w:r>
        <w:r w:rsidR="00BA0A91">
          <w:rPr>
            <w:noProof/>
            <w:webHidden/>
          </w:rPr>
          <w:fldChar w:fldCharType="begin"/>
        </w:r>
        <w:r w:rsidR="00BA0A91">
          <w:rPr>
            <w:noProof/>
            <w:webHidden/>
          </w:rPr>
          <w:instrText xml:space="preserve"> PAGEREF _Toc524519430 \h </w:instrText>
        </w:r>
        <w:r w:rsidR="00BA0A91">
          <w:rPr>
            <w:noProof/>
            <w:webHidden/>
          </w:rPr>
        </w:r>
        <w:r w:rsidR="00BA0A91">
          <w:rPr>
            <w:noProof/>
            <w:webHidden/>
          </w:rPr>
          <w:fldChar w:fldCharType="separate"/>
        </w:r>
        <w:r w:rsidR="00BA0A91">
          <w:rPr>
            <w:noProof/>
            <w:webHidden/>
          </w:rPr>
          <w:t>57</w:t>
        </w:r>
        <w:r w:rsidR="00BA0A91">
          <w:rPr>
            <w:noProof/>
            <w:webHidden/>
          </w:rPr>
          <w:fldChar w:fldCharType="end"/>
        </w:r>
      </w:hyperlink>
    </w:p>
    <w:p w14:paraId="5208FF65" w14:textId="54AED126" w:rsidR="00BA0A91" w:rsidRDefault="00772ED7">
      <w:pPr>
        <w:pStyle w:val="TOC2"/>
        <w:rPr>
          <w:rFonts w:asciiTheme="minorHAnsi" w:eastAsiaTheme="minorEastAsia" w:hAnsiTheme="minorHAnsi" w:cstheme="minorBidi"/>
          <w:noProof/>
          <w:kern w:val="0"/>
          <w:szCs w:val="22"/>
          <w:lang w:eastAsia="en-AU"/>
        </w:rPr>
      </w:pPr>
      <w:hyperlink w:anchor="_Toc524519431" w:history="1">
        <w:r w:rsidR="00BA0A91" w:rsidRPr="00661CA8">
          <w:rPr>
            <w:rStyle w:val="Hyperlink"/>
            <w:noProof/>
          </w:rPr>
          <w:t>Contacts and key locations</w:t>
        </w:r>
        <w:r w:rsidR="00BA0A91">
          <w:rPr>
            <w:noProof/>
            <w:webHidden/>
          </w:rPr>
          <w:tab/>
        </w:r>
        <w:r w:rsidR="00BA0A91">
          <w:rPr>
            <w:noProof/>
            <w:webHidden/>
          </w:rPr>
          <w:fldChar w:fldCharType="begin"/>
        </w:r>
        <w:r w:rsidR="00BA0A91">
          <w:rPr>
            <w:noProof/>
            <w:webHidden/>
          </w:rPr>
          <w:instrText xml:space="preserve"> PAGEREF _Toc524519431 \h </w:instrText>
        </w:r>
        <w:r w:rsidR="00BA0A91">
          <w:rPr>
            <w:noProof/>
            <w:webHidden/>
          </w:rPr>
        </w:r>
        <w:r w:rsidR="00BA0A91">
          <w:rPr>
            <w:noProof/>
            <w:webHidden/>
          </w:rPr>
          <w:fldChar w:fldCharType="separate"/>
        </w:r>
        <w:r w:rsidR="00BA0A91">
          <w:rPr>
            <w:noProof/>
            <w:webHidden/>
          </w:rPr>
          <w:t>59</w:t>
        </w:r>
        <w:r w:rsidR="00BA0A91">
          <w:rPr>
            <w:noProof/>
            <w:webHidden/>
          </w:rPr>
          <w:fldChar w:fldCharType="end"/>
        </w:r>
      </w:hyperlink>
    </w:p>
    <w:p w14:paraId="0505EBD8" w14:textId="2242CD36" w:rsidR="008757D6" w:rsidRDefault="008757D6" w:rsidP="008757D6">
      <w:pPr>
        <w:pStyle w:val="TOC2"/>
        <w:rPr>
          <w:rFonts w:asciiTheme="minorHAnsi" w:eastAsiaTheme="minorEastAsia" w:hAnsiTheme="minorHAnsi" w:cstheme="minorBidi"/>
          <w:noProof/>
          <w:kern w:val="0"/>
          <w:szCs w:val="22"/>
          <w:lang w:eastAsia="en-AU"/>
        </w:rPr>
      </w:pPr>
      <w:r w:rsidRPr="008757D6">
        <w:rPr>
          <w:rFonts w:ascii="Arial Bold" w:hAnsi="Arial Bold"/>
          <w:b/>
          <w:bCs/>
          <w:sz w:val="24"/>
        </w:rPr>
        <w:fldChar w:fldCharType="end"/>
      </w:r>
      <w:r w:rsidR="00DD3B4F">
        <w:rPr>
          <w:rFonts w:ascii="Arial Bold" w:hAnsi="Arial Bold"/>
          <w:b/>
          <w:bCs/>
          <w:sz w:val="24"/>
        </w:rPr>
        <w:fldChar w:fldCharType="begin"/>
      </w:r>
      <w:r w:rsidR="00DD3B4F">
        <w:rPr>
          <w:rFonts w:ascii="Arial Bold" w:hAnsi="Arial Bold"/>
          <w:b/>
          <w:bCs/>
          <w:sz w:val="24"/>
        </w:rPr>
        <w:instrText xml:space="preserve"> TOC \o "1-1" \h \z \t "Heading 2,2,Heading 4,3" </w:instrText>
      </w:r>
      <w:r w:rsidR="00DD3B4F">
        <w:rPr>
          <w:rFonts w:ascii="Arial Bold" w:hAnsi="Arial Bold"/>
          <w:b/>
          <w:bCs/>
          <w:sz w:val="24"/>
        </w:rPr>
        <w:fldChar w:fldCharType="separate"/>
      </w:r>
    </w:p>
    <w:p w14:paraId="4F356E06" w14:textId="77777777" w:rsidR="0057070D" w:rsidRDefault="0057070D">
      <w:pPr>
        <w:pStyle w:val="TOC2"/>
        <w:rPr>
          <w:rFonts w:asciiTheme="minorHAnsi" w:eastAsiaTheme="minorEastAsia" w:hAnsiTheme="minorHAnsi" w:cstheme="minorBidi"/>
          <w:noProof/>
          <w:kern w:val="0"/>
          <w:szCs w:val="22"/>
          <w:lang w:eastAsia="en-AU"/>
        </w:rPr>
      </w:pPr>
    </w:p>
    <w:p w14:paraId="4FCAAAA1" w14:textId="77777777" w:rsidR="007A4AD3" w:rsidRPr="00341581" w:rsidRDefault="00DD3B4F" w:rsidP="00495B20">
      <w:pPr>
        <w:ind w:left="-142"/>
      </w:pPr>
      <w:r>
        <w:rPr>
          <w:rFonts w:ascii="Arial Bold" w:hAnsi="Arial Bold"/>
          <w:b/>
          <w:bCs/>
          <w:sz w:val="24"/>
        </w:rPr>
        <w:fldChar w:fldCharType="end"/>
      </w:r>
      <w:r w:rsidR="00654F78" w:rsidRPr="00341581">
        <w:t xml:space="preserve"> </w:t>
      </w:r>
      <w:r w:rsidR="007A4AD3" w:rsidRPr="00341581">
        <w:br w:type="page"/>
      </w:r>
    </w:p>
    <w:p w14:paraId="2D00C326" w14:textId="77777777" w:rsidR="001725EF" w:rsidRPr="001725EF" w:rsidRDefault="001725EF" w:rsidP="009D6B00">
      <w:pPr>
        <w:pStyle w:val="Heading2"/>
      </w:pPr>
      <w:bookmarkStart w:id="5" w:name="_Toc524519401"/>
      <w:r>
        <w:lastRenderedPageBreak/>
        <w:t>Inspector-General’s message</w:t>
      </w:r>
      <w:bookmarkEnd w:id="5"/>
      <w:r>
        <w:t xml:space="preserve"> </w:t>
      </w:r>
    </w:p>
    <w:p w14:paraId="114B486C" w14:textId="77777777" w:rsidR="00204FC0" w:rsidRDefault="004C7A2B" w:rsidP="00204FC0">
      <w:pPr>
        <w:ind w:left="-142"/>
        <w:rPr>
          <w:szCs w:val="22"/>
        </w:rPr>
      </w:pPr>
      <w:r>
        <w:rPr>
          <w:noProof/>
          <w:lang w:eastAsia="en-AU"/>
        </w:rPr>
        <w:drawing>
          <wp:anchor distT="0" distB="0" distL="114300" distR="114300" simplePos="0" relativeHeight="251659264" behindDoc="1" locked="0" layoutInCell="1" allowOverlap="1" wp14:anchorId="577F9C21" wp14:editId="55958F5B">
            <wp:simplePos x="0" y="0"/>
            <wp:positionH relativeFrom="column">
              <wp:posOffset>2327910</wp:posOffset>
            </wp:positionH>
            <wp:positionV relativeFrom="paragraph">
              <wp:posOffset>10795</wp:posOffset>
            </wp:positionV>
            <wp:extent cx="4229100" cy="2616200"/>
            <wp:effectExtent l="0" t="0" r="0" b="0"/>
            <wp:wrapTight wrapText="bothSides">
              <wp:wrapPolygon edited="0">
                <wp:start x="0" y="0"/>
                <wp:lineTo x="0" y="21390"/>
                <wp:lineTo x="21503" y="21390"/>
                <wp:lineTo x="21503" y="0"/>
                <wp:lineTo x="0" y="0"/>
              </wp:wrapPolygon>
            </wp:wrapTight>
            <wp:docPr id="1" name="Picture 1" descr="C:\Users\jhawthorne\AppData\Local\Microsoft\Windows\INetCache\Content.Word\IGEM_IainMackenzie_20170717_EPX0018_Web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awthorne\AppData\Local\Microsoft\Windows\INetCache\Content.Word\IGEM_IainMackenzie_20170717_EPX0018_Webshot.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7207"/>
                    <a:stretch/>
                  </pic:blipFill>
                  <pic:spPr bwMode="auto">
                    <a:xfrm>
                      <a:off x="0" y="0"/>
                      <a:ext cx="4229100" cy="2616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4FC0" w:rsidRPr="00204FC0">
        <w:rPr>
          <w:szCs w:val="22"/>
        </w:rPr>
        <w:t xml:space="preserve">The Office of the Inspector-General Emergency Management </w:t>
      </w:r>
      <w:r w:rsidR="00204FC0">
        <w:rPr>
          <w:szCs w:val="22"/>
        </w:rPr>
        <w:t xml:space="preserve">(the Office) </w:t>
      </w:r>
      <w:r w:rsidR="00204FC0" w:rsidRPr="00204FC0">
        <w:rPr>
          <w:szCs w:val="22"/>
        </w:rPr>
        <w:t>made significant progress during the 2017-18 financial year in delivering on its vision of being the catalyst for disaster management excellence in Queensland.</w:t>
      </w:r>
      <w:r w:rsidRPr="004C7A2B">
        <w:rPr>
          <w:noProof/>
          <w:lang w:eastAsia="en-AU"/>
        </w:rPr>
        <w:t xml:space="preserve"> </w:t>
      </w:r>
    </w:p>
    <w:p w14:paraId="102612E1" w14:textId="78719BE5" w:rsidR="00204FC0" w:rsidRPr="00204FC0" w:rsidRDefault="004C7A2B" w:rsidP="00204FC0">
      <w:pPr>
        <w:ind w:left="-142"/>
        <w:rPr>
          <w:szCs w:val="22"/>
        </w:rPr>
      </w:pPr>
      <w:r>
        <w:rPr>
          <w:noProof/>
          <w:lang w:eastAsia="en-AU"/>
        </w:rPr>
        <mc:AlternateContent>
          <mc:Choice Requires="wps">
            <w:drawing>
              <wp:anchor distT="45720" distB="45720" distL="114300" distR="114300" simplePos="0" relativeHeight="251661312" behindDoc="0" locked="0" layoutInCell="1" allowOverlap="1" wp14:anchorId="65A96914" wp14:editId="2F3107FF">
                <wp:simplePos x="0" y="0"/>
                <wp:positionH relativeFrom="column">
                  <wp:posOffset>2319020</wp:posOffset>
                </wp:positionH>
                <wp:positionV relativeFrom="paragraph">
                  <wp:posOffset>1400810</wp:posOffset>
                </wp:positionV>
                <wp:extent cx="4258310" cy="36385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8310" cy="363855"/>
                        </a:xfrm>
                        <a:prstGeom prst="rect">
                          <a:avLst/>
                        </a:prstGeom>
                        <a:noFill/>
                        <a:ln w="9525">
                          <a:noFill/>
                          <a:miter lim="800000"/>
                          <a:headEnd/>
                          <a:tailEnd/>
                        </a:ln>
                      </wps:spPr>
                      <wps:txbx>
                        <w:txbxContent>
                          <w:p w14:paraId="6D94AFB1" w14:textId="77777777" w:rsidR="00153C30" w:rsidRPr="004449C7" w:rsidRDefault="00153C30" w:rsidP="004449C7">
                            <w:pPr>
                              <w:jc w:val="center"/>
                              <w:rPr>
                                <w:i/>
                              </w:rPr>
                            </w:pPr>
                            <w:r w:rsidRPr="00BC4797">
                              <w:rPr>
                                <w:i/>
                              </w:rPr>
                              <w:t>Inspector-General Iain MacKenzie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5A96914" id="_x0000_t202" coordsize="21600,21600" o:spt="202" path="m,l,21600r21600,l21600,xe">
                <v:stroke joinstyle="miter"/>
                <v:path gradientshapeok="t" o:connecttype="rect"/>
              </v:shapetype>
              <v:shape id="Text Box 2" o:spid="_x0000_s1026" type="#_x0000_t202" style="position:absolute;left:0;text-align:left;margin-left:182.6pt;margin-top:110.3pt;width:335.3pt;height:28.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" filled="f" stroked="f">
                <v:textbox>
                  <w:txbxContent>
                    <w:p w14:paraId="6D94AFB1" w14:textId="77777777" w:rsidR="00153C30" w:rsidRPr="004449C7" w:rsidRDefault="00153C30" w:rsidP="004449C7">
                      <w:pPr>
                        <w:jc w:val="center"/>
                        <w:rPr>
                          <w:i/>
                        </w:rPr>
                      </w:pPr>
                      <w:r w:rsidRPr="00BC4797">
                        <w:rPr>
                          <w:i/>
                        </w:rPr>
                        <w:t>Inspector-General Iain MacKenzie</w:t>
                      </w:r>
                    </w:p>
                  </w:txbxContent>
                </v:textbox>
                <w10:wrap type="square"/>
              </v:shape>
            </w:pict>
          </mc:Fallback>
        </mc:AlternateContent>
      </w:r>
      <w:r w:rsidR="00204FC0" w:rsidRPr="00204FC0">
        <w:rPr>
          <w:szCs w:val="22"/>
        </w:rPr>
        <w:t xml:space="preserve">Through the ground-breaking Emergency Management Assurance Framework and Australia’s first Standard for Disaster Management, </w:t>
      </w:r>
      <w:r w:rsidR="00855E69">
        <w:rPr>
          <w:szCs w:val="22"/>
        </w:rPr>
        <w:t>the</w:t>
      </w:r>
      <w:r w:rsidR="00204FC0" w:rsidRPr="00204FC0">
        <w:rPr>
          <w:szCs w:val="22"/>
        </w:rPr>
        <w:t xml:space="preserve"> Office undertook a comprehensive program of assurance activities and initiatives to support the development and maintenance of world class disaster management arrangements.</w:t>
      </w:r>
    </w:p>
    <w:p w14:paraId="1FAF0BB2" w14:textId="26FABCDD" w:rsidR="00204FC0" w:rsidRPr="00204FC0" w:rsidRDefault="00204FC0" w:rsidP="00204FC0">
      <w:pPr>
        <w:ind w:left="-142"/>
        <w:rPr>
          <w:szCs w:val="22"/>
        </w:rPr>
      </w:pPr>
      <w:r w:rsidRPr="00204FC0">
        <w:rPr>
          <w:szCs w:val="22"/>
        </w:rPr>
        <w:t xml:space="preserve">And consistent with an ongoing core value of </w:t>
      </w:r>
      <w:r w:rsidR="00B24E5F">
        <w:rPr>
          <w:szCs w:val="22"/>
        </w:rPr>
        <w:t>the</w:t>
      </w:r>
      <w:r w:rsidRPr="00204FC0">
        <w:rPr>
          <w:szCs w:val="22"/>
        </w:rPr>
        <w:t xml:space="preserve"> Office, ground-up consultation with stakeholders formed the foundation of how we approached and delivered our assurance activities throughout the year.</w:t>
      </w:r>
    </w:p>
    <w:p w14:paraId="196069DB" w14:textId="77777777" w:rsidR="00204FC0" w:rsidRDefault="00204FC0" w:rsidP="00204FC0">
      <w:pPr>
        <w:ind w:left="-142"/>
        <w:rPr>
          <w:szCs w:val="22"/>
        </w:rPr>
      </w:pPr>
      <w:r w:rsidRPr="00204FC0">
        <w:rPr>
          <w:szCs w:val="22"/>
        </w:rPr>
        <w:t>This collaborative approach was an instrumental component of reviews during 2017-18, which included:</w:t>
      </w:r>
    </w:p>
    <w:p w14:paraId="22C9C742" w14:textId="29997FB5" w:rsidR="00204FC0" w:rsidRPr="00204FC0" w:rsidRDefault="00C937E2" w:rsidP="0017125F">
      <w:pPr>
        <w:pStyle w:val="ListParagraph"/>
        <w:widowControl w:val="0"/>
        <w:numPr>
          <w:ilvl w:val="0"/>
          <w:numId w:val="10"/>
        </w:numPr>
        <w:tabs>
          <w:tab w:val="left" w:pos="473"/>
        </w:tabs>
        <w:ind w:left="426" w:hanging="568"/>
        <w:contextualSpacing w:val="0"/>
        <w:rPr>
          <w:rFonts w:eastAsia="Arial"/>
        </w:rPr>
      </w:pPr>
      <w:r>
        <w:rPr>
          <w:rFonts w:eastAsia="Times New Roman"/>
          <w:iCs/>
          <w:szCs w:val="22"/>
        </w:rPr>
        <w:t>a</w:t>
      </w:r>
      <w:r w:rsidR="00204FC0" w:rsidRPr="00204FC0">
        <w:rPr>
          <w:rFonts w:eastAsia="Times New Roman"/>
          <w:iCs/>
          <w:szCs w:val="22"/>
        </w:rPr>
        <w:t xml:space="preserve"> review of disaster management arrangements associated with Tropical Cyclone Debbie. As part of the review, </w:t>
      </w:r>
      <w:r w:rsidR="00B24E5F">
        <w:rPr>
          <w:rFonts w:eastAsia="Times New Roman"/>
          <w:iCs/>
          <w:szCs w:val="22"/>
        </w:rPr>
        <w:t>the</w:t>
      </w:r>
      <w:r w:rsidR="00204FC0" w:rsidRPr="00204FC0">
        <w:rPr>
          <w:rFonts w:eastAsia="Times New Roman"/>
          <w:iCs/>
          <w:szCs w:val="22"/>
        </w:rPr>
        <w:t xml:space="preserve"> Office was tasked to ensure </w:t>
      </w:r>
      <w:r w:rsidR="00204FC0" w:rsidRPr="00204FC0">
        <w:rPr>
          <w:rFonts w:eastAsia="Times New Roman"/>
          <w:szCs w:val="22"/>
          <w:lang w:eastAsia="en-AU"/>
        </w:rPr>
        <w:t>good practice was identified; lessons learnt from the event were captured; and that common themes for improvement were adopted</w:t>
      </w:r>
      <w:r w:rsidR="00204FC0">
        <w:rPr>
          <w:rFonts w:eastAsia="Times New Roman"/>
          <w:szCs w:val="22"/>
          <w:lang w:eastAsia="en-AU"/>
        </w:rPr>
        <w:t>.</w:t>
      </w:r>
    </w:p>
    <w:p w14:paraId="31EDFA81" w14:textId="77777777" w:rsidR="00204FC0" w:rsidRPr="00204FC0" w:rsidRDefault="00C937E2" w:rsidP="0017125F">
      <w:pPr>
        <w:pStyle w:val="ListParagraph"/>
        <w:widowControl w:val="0"/>
        <w:numPr>
          <w:ilvl w:val="0"/>
          <w:numId w:val="10"/>
        </w:numPr>
        <w:tabs>
          <w:tab w:val="left" w:pos="473"/>
        </w:tabs>
        <w:ind w:left="426" w:hanging="568"/>
        <w:contextualSpacing w:val="0"/>
        <w:rPr>
          <w:rFonts w:eastAsia="Arial"/>
        </w:rPr>
      </w:pPr>
      <w:r>
        <w:rPr>
          <w:rFonts w:eastAsia="Times New Roman"/>
          <w:iCs/>
          <w:szCs w:val="22"/>
        </w:rPr>
        <w:t>t</w:t>
      </w:r>
      <w:r w:rsidR="00204FC0" w:rsidRPr="00204FC0">
        <w:rPr>
          <w:rFonts w:eastAsia="Times New Roman"/>
          <w:iCs/>
          <w:szCs w:val="22"/>
        </w:rPr>
        <w:t>he Townsville Capability Review, which assessed the ability of t</w:t>
      </w:r>
      <w:r w:rsidR="00204FC0" w:rsidRPr="00204FC0">
        <w:rPr>
          <w:noProof/>
          <w:szCs w:val="22"/>
          <w:lang w:eastAsia="en-AU"/>
        </w:rPr>
        <w:t>he Townsville District Disaster Management Group, and local disaster management groups in Richmond, Palm Island, Hinchinbrook, Flinders, Charters Towers, Burdekin and Townsville to meet future challenges, as measured against the Standard for Disaster Management in Queensland</w:t>
      </w:r>
      <w:r w:rsidR="00204FC0">
        <w:rPr>
          <w:noProof/>
          <w:szCs w:val="22"/>
          <w:lang w:eastAsia="en-AU"/>
        </w:rPr>
        <w:t>.</w:t>
      </w:r>
    </w:p>
    <w:p w14:paraId="11B0044D" w14:textId="77777777" w:rsidR="00204FC0" w:rsidRPr="004449C7" w:rsidRDefault="00C937E2" w:rsidP="0017125F">
      <w:pPr>
        <w:pStyle w:val="ListParagraph"/>
        <w:widowControl w:val="0"/>
        <w:numPr>
          <w:ilvl w:val="0"/>
          <w:numId w:val="10"/>
        </w:numPr>
        <w:tabs>
          <w:tab w:val="left" w:pos="473"/>
        </w:tabs>
        <w:ind w:left="426" w:hanging="568"/>
        <w:contextualSpacing w:val="0"/>
        <w:rPr>
          <w:rFonts w:eastAsia="Arial"/>
        </w:rPr>
      </w:pPr>
      <w:r>
        <w:rPr>
          <w:rFonts w:eastAsia="Times New Roman"/>
          <w:iCs/>
          <w:szCs w:val="22"/>
        </w:rPr>
        <w:t>a</w:t>
      </w:r>
      <w:r w:rsidR="00204FC0" w:rsidRPr="00204FC0">
        <w:rPr>
          <w:rFonts w:eastAsia="Times New Roman"/>
          <w:iCs/>
          <w:szCs w:val="22"/>
        </w:rPr>
        <w:t xml:space="preserve"> review of evacuation management arrangements, which assessed the extent to which arrangements and plans reflect good practice, the Standard for Disaster Management in Queensland, and the capacity to adapt plans to events</w:t>
      </w:r>
      <w:r w:rsidR="00204FC0">
        <w:rPr>
          <w:rFonts w:eastAsia="Times New Roman"/>
          <w:iCs/>
          <w:szCs w:val="22"/>
        </w:rPr>
        <w:t>.</w:t>
      </w:r>
    </w:p>
    <w:p w14:paraId="28A1C4DB" w14:textId="538B4EC1" w:rsidR="00204FC0" w:rsidRDefault="00204FC0" w:rsidP="00C937E2">
      <w:pPr>
        <w:pStyle w:val="ListParagraph"/>
        <w:widowControl w:val="0"/>
        <w:tabs>
          <w:tab w:val="left" w:pos="473"/>
        </w:tabs>
        <w:ind w:left="-142"/>
        <w:contextualSpacing w:val="0"/>
        <w:rPr>
          <w:rFonts w:eastAsia="Times New Roman"/>
          <w:iCs/>
          <w:szCs w:val="22"/>
        </w:rPr>
      </w:pPr>
      <w:r w:rsidRPr="00204FC0">
        <w:rPr>
          <w:szCs w:val="22"/>
        </w:rPr>
        <w:t xml:space="preserve">Apart from reviews, </w:t>
      </w:r>
      <w:r w:rsidR="00B24E5F">
        <w:rPr>
          <w:szCs w:val="22"/>
        </w:rPr>
        <w:t>the</w:t>
      </w:r>
      <w:r w:rsidRPr="00204FC0">
        <w:rPr>
          <w:szCs w:val="22"/>
        </w:rPr>
        <w:t xml:space="preserve"> Office undertook a comprehensive range of other activities and initiatives during 2017-18 to further enhance disaster management excellence at the local, State and Federal levels. Achievements surrounding this work included</w:t>
      </w:r>
      <w:r>
        <w:rPr>
          <w:szCs w:val="22"/>
        </w:rPr>
        <w:t>:</w:t>
      </w:r>
    </w:p>
    <w:p w14:paraId="6109D8F4" w14:textId="77777777" w:rsidR="00204FC0" w:rsidRPr="00204FC0" w:rsidRDefault="00C937E2" w:rsidP="0017125F">
      <w:pPr>
        <w:pStyle w:val="ListParagraph"/>
        <w:widowControl w:val="0"/>
        <w:numPr>
          <w:ilvl w:val="0"/>
          <w:numId w:val="10"/>
        </w:numPr>
        <w:tabs>
          <w:tab w:val="left" w:pos="473"/>
        </w:tabs>
        <w:ind w:left="426" w:hanging="568"/>
        <w:contextualSpacing w:val="0"/>
        <w:rPr>
          <w:rFonts w:eastAsia="Arial"/>
          <w:b/>
        </w:rPr>
      </w:pPr>
      <w:r>
        <w:rPr>
          <w:szCs w:val="22"/>
        </w:rPr>
        <w:t>t</w:t>
      </w:r>
      <w:r w:rsidR="00204FC0" w:rsidRPr="00204FC0">
        <w:rPr>
          <w:szCs w:val="22"/>
        </w:rPr>
        <w:t>he development of the first draft of a Queensland-specific disaster management lexicon, to ensure consistency and common understanding of key words used within the sector</w:t>
      </w:r>
    </w:p>
    <w:p w14:paraId="51D4E8D9" w14:textId="00A77428" w:rsidR="00204FC0" w:rsidRPr="00204FC0" w:rsidRDefault="00C937E2" w:rsidP="0017125F">
      <w:pPr>
        <w:pStyle w:val="ListParagraph"/>
        <w:widowControl w:val="0"/>
        <w:numPr>
          <w:ilvl w:val="0"/>
          <w:numId w:val="10"/>
        </w:numPr>
        <w:tabs>
          <w:tab w:val="left" w:pos="473"/>
        </w:tabs>
        <w:ind w:left="426" w:hanging="568"/>
        <w:contextualSpacing w:val="0"/>
        <w:rPr>
          <w:rFonts w:eastAsia="Arial"/>
          <w:b/>
        </w:rPr>
      </w:pPr>
      <w:r>
        <w:rPr>
          <w:szCs w:val="22"/>
        </w:rPr>
        <w:t>t</w:t>
      </w:r>
      <w:r w:rsidR="00204FC0" w:rsidRPr="00204FC0">
        <w:rPr>
          <w:szCs w:val="22"/>
        </w:rPr>
        <w:t xml:space="preserve">he commencement of a </w:t>
      </w:r>
      <w:r w:rsidR="008D7258">
        <w:rPr>
          <w:szCs w:val="22"/>
        </w:rPr>
        <w:t>system-wide</w:t>
      </w:r>
      <w:r w:rsidR="00204FC0" w:rsidRPr="00204FC0">
        <w:rPr>
          <w:szCs w:val="22"/>
        </w:rPr>
        <w:t xml:space="preserve"> lessons management program to enable improvement strategies and innovative solutions, good practice, and ideas to grow capability</w:t>
      </w:r>
    </w:p>
    <w:p w14:paraId="6FF5AF5C" w14:textId="77777777" w:rsidR="00204FC0" w:rsidRPr="00204FC0" w:rsidRDefault="00C937E2" w:rsidP="0017125F">
      <w:pPr>
        <w:pStyle w:val="ListParagraph"/>
        <w:widowControl w:val="0"/>
        <w:numPr>
          <w:ilvl w:val="0"/>
          <w:numId w:val="10"/>
        </w:numPr>
        <w:tabs>
          <w:tab w:val="left" w:pos="473"/>
        </w:tabs>
        <w:ind w:left="426" w:hanging="568"/>
        <w:contextualSpacing w:val="0"/>
        <w:rPr>
          <w:rFonts w:eastAsia="Arial"/>
          <w:b/>
        </w:rPr>
      </w:pPr>
      <w:r>
        <w:rPr>
          <w:szCs w:val="22"/>
        </w:rPr>
        <w:t>t</w:t>
      </w:r>
      <w:r w:rsidR="00204FC0" w:rsidRPr="00204FC0">
        <w:rPr>
          <w:szCs w:val="22"/>
        </w:rPr>
        <w:t>he development of a research framework to collaboratively develop and promote disaster management, specifically for the Queensland context</w:t>
      </w:r>
    </w:p>
    <w:p w14:paraId="3F555728" w14:textId="77777777" w:rsidR="00204FC0" w:rsidRPr="00204FC0" w:rsidRDefault="00C937E2" w:rsidP="0017125F">
      <w:pPr>
        <w:pStyle w:val="ListParagraph"/>
        <w:widowControl w:val="0"/>
        <w:numPr>
          <w:ilvl w:val="0"/>
          <w:numId w:val="10"/>
        </w:numPr>
        <w:tabs>
          <w:tab w:val="left" w:pos="473"/>
        </w:tabs>
        <w:ind w:left="426" w:hanging="568"/>
        <w:contextualSpacing w:val="0"/>
        <w:rPr>
          <w:rFonts w:eastAsia="Arial"/>
          <w:b/>
        </w:rPr>
      </w:pPr>
      <w:r>
        <w:rPr>
          <w:szCs w:val="22"/>
        </w:rPr>
        <w:t>w</w:t>
      </w:r>
      <w:r w:rsidRPr="00204FC0">
        <w:rPr>
          <w:szCs w:val="22"/>
        </w:rPr>
        <w:t>inning the Leadership Category of the 2017 Premier</w:t>
      </w:r>
      <w:r w:rsidR="0088474D">
        <w:rPr>
          <w:szCs w:val="22"/>
        </w:rPr>
        <w:t>’</w:t>
      </w:r>
      <w:r w:rsidRPr="00204FC0">
        <w:rPr>
          <w:szCs w:val="22"/>
        </w:rPr>
        <w:t>s Awards for Excellence for the Disast</w:t>
      </w:r>
      <w:r w:rsidR="00943304">
        <w:rPr>
          <w:szCs w:val="22"/>
        </w:rPr>
        <w:t>er Management Officers’ Network; t</w:t>
      </w:r>
      <w:r w:rsidRPr="00204FC0">
        <w:rPr>
          <w:szCs w:val="22"/>
        </w:rPr>
        <w:t>he network now incorporates 91 staff from 55 councils</w:t>
      </w:r>
    </w:p>
    <w:p w14:paraId="47FD6163" w14:textId="272D5970" w:rsidR="00204FC0" w:rsidRPr="004449C7" w:rsidRDefault="00C937E2" w:rsidP="0017125F">
      <w:pPr>
        <w:pStyle w:val="ListParagraph"/>
        <w:widowControl w:val="0"/>
        <w:numPr>
          <w:ilvl w:val="0"/>
          <w:numId w:val="10"/>
        </w:numPr>
        <w:tabs>
          <w:tab w:val="left" w:pos="473"/>
        </w:tabs>
        <w:ind w:left="426" w:hanging="568"/>
        <w:contextualSpacing w:val="0"/>
        <w:rPr>
          <w:rFonts w:eastAsia="Arial"/>
          <w:b/>
        </w:rPr>
      </w:pPr>
      <w:r>
        <w:rPr>
          <w:szCs w:val="22"/>
        </w:rPr>
        <w:t>s</w:t>
      </w:r>
      <w:r w:rsidRPr="00204FC0">
        <w:rPr>
          <w:szCs w:val="22"/>
        </w:rPr>
        <w:t xml:space="preserve">ecuring formal White Ribbon accreditation as part of </w:t>
      </w:r>
      <w:r w:rsidR="00B24E5F">
        <w:rPr>
          <w:szCs w:val="22"/>
        </w:rPr>
        <w:t>the</w:t>
      </w:r>
      <w:r w:rsidRPr="00204FC0">
        <w:rPr>
          <w:szCs w:val="22"/>
        </w:rPr>
        <w:t xml:space="preserve"> Office’s active support and commitment </w:t>
      </w:r>
      <w:r w:rsidR="00943304">
        <w:rPr>
          <w:szCs w:val="22"/>
        </w:rPr>
        <w:t xml:space="preserve">to </w:t>
      </w:r>
      <w:r w:rsidRPr="00204FC0">
        <w:rPr>
          <w:szCs w:val="22"/>
        </w:rPr>
        <w:t>seeking to prevent violence against women</w:t>
      </w:r>
    </w:p>
    <w:p w14:paraId="5E8DF438" w14:textId="77777777" w:rsidR="00204FC0" w:rsidRPr="00C937E2" w:rsidRDefault="00C937E2" w:rsidP="0017125F">
      <w:pPr>
        <w:pStyle w:val="ListParagraph"/>
        <w:widowControl w:val="0"/>
        <w:numPr>
          <w:ilvl w:val="0"/>
          <w:numId w:val="10"/>
        </w:numPr>
        <w:tabs>
          <w:tab w:val="left" w:pos="473"/>
        </w:tabs>
        <w:ind w:left="426" w:hanging="568"/>
        <w:contextualSpacing w:val="0"/>
        <w:rPr>
          <w:rFonts w:eastAsia="Arial"/>
          <w:b/>
        </w:rPr>
      </w:pPr>
      <w:r>
        <w:rPr>
          <w:szCs w:val="22"/>
        </w:rPr>
        <w:t>c</w:t>
      </w:r>
      <w:r w:rsidRPr="00204FC0">
        <w:rPr>
          <w:szCs w:val="22"/>
        </w:rPr>
        <w:t>ommencement of a refresh of the ground-breaking Emergency Management Assurance Framework and Standard for Disaster Management in Queensland</w:t>
      </w:r>
    </w:p>
    <w:p w14:paraId="06DEFFB5" w14:textId="77777777" w:rsidR="008039DF" w:rsidRPr="00C937E2" w:rsidRDefault="008039DF" w:rsidP="0017125F">
      <w:pPr>
        <w:pStyle w:val="ListParagraph"/>
        <w:widowControl w:val="0"/>
        <w:numPr>
          <w:ilvl w:val="0"/>
          <w:numId w:val="10"/>
        </w:numPr>
        <w:tabs>
          <w:tab w:val="left" w:pos="473"/>
        </w:tabs>
        <w:ind w:left="426" w:hanging="568"/>
        <w:contextualSpacing w:val="0"/>
        <w:rPr>
          <w:rFonts w:eastAsia="Arial"/>
          <w:b/>
        </w:rPr>
      </w:pPr>
      <w:r>
        <w:rPr>
          <w:szCs w:val="22"/>
        </w:rPr>
        <w:t xml:space="preserve">partnership with the Commonwealth and </w:t>
      </w:r>
      <w:r w:rsidR="00337611">
        <w:rPr>
          <w:szCs w:val="22"/>
        </w:rPr>
        <w:t xml:space="preserve">the </w:t>
      </w:r>
      <w:r>
        <w:rPr>
          <w:szCs w:val="22"/>
        </w:rPr>
        <w:t>coordination of Queensland’s involvement in</w:t>
      </w:r>
      <w:r w:rsidR="00322D29">
        <w:rPr>
          <w:szCs w:val="22"/>
        </w:rPr>
        <w:t xml:space="preserve"> </w:t>
      </w:r>
      <w:r w:rsidRPr="00204FC0">
        <w:rPr>
          <w:szCs w:val="22"/>
        </w:rPr>
        <w:t xml:space="preserve">the </w:t>
      </w:r>
      <w:r w:rsidRPr="00204FC0">
        <w:rPr>
          <w:szCs w:val="22"/>
        </w:rPr>
        <w:lastRenderedPageBreak/>
        <w:t>development of the Australian Vulnerability Profile, which seeks to better understand and mitigate risks nationally</w:t>
      </w:r>
      <w:r>
        <w:rPr>
          <w:szCs w:val="22"/>
        </w:rPr>
        <w:t xml:space="preserve"> </w:t>
      </w:r>
    </w:p>
    <w:p w14:paraId="340483CB" w14:textId="77777777" w:rsidR="00C937E2" w:rsidRPr="00C937E2" w:rsidRDefault="00C937E2" w:rsidP="0017125F">
      <w:pPr>
        <w:pStyle w:val="ListParagraph"/>
        <w:widowControl w:val="0"/>
        <w:numPr>
          <w:ilvl w:val="0"/>
          <w:numId w:val="10"/>
        </w:numPr>
        <w:tabs>
          <w:tab w:val="left" w:pos="473"/>
        </w:tabs>
        <w:ind w:left="426" w:hanging="568"/>
        <w:contextualSpacing w:val="0"/>
        <w:rPr>
          <w:rFonts w:eastAsia="Arial"/>
          <w:b/>
        </w:rPr>
      </w:pPr>
      <w:r>
        <w:rPr>
          <w:szCs w:val="22"/>
        </w:rPr>
        <w:t>p</w:t>
      </w:r>
      <w:r w:rsidRPr="00204FC0">
        <w:rPr>
          <w:szCs w:val="22"/>
        </w:rPr>
        <w:t xml:space="preserve">artnering with tertiary institutions on pivotal disaster management studies including community engagement and associated tools; the use of augmented and virtual reality; environmental recovery; and a needs analysis and good practice </w:t>
      </w:r>
      <w:r w:rsidR="008D7258">
        <w:rPr>
          <w:szCs w:val="22"/>
        </w:rPr>
        <w:t xml:space="preserve">study </w:t>
      </w:r>
      <w:r w:rsidRPr="00204FC0">
        <w:rPr>
          <w:szCs w:val="22"/>
        </w:rPr>
        <w:t>regarding datasets used by practitioners</w:t>
      </w:r>
    </w:p>
    <w:p w14:paraId="2C40CFB3" w14:textId="77777777" w:rsidR="00EB5BDB" w:rsidRPr="004449C7" w:rsidRDefault="00C937E2" w:rsidP="0017125F">
      <w:pPr>
        <w:pStyle w:val="ListParagraph"/>
        <w:widowControl w:val="0"/>
        <w:numPr>
          <w:ilvl w:val="0"/>
          <w:numId w:val="10"/>
        </w:numPr>
        <w:tabs>
          <w:tab w:val="left" w:pos="473"/>
        </w:tabs>
        <w:ind w:left="426" w:hanging="568"/>
        <w:contextualSpacing w:val="0"/>
        <w:rPr>
          <w:rFonts w:eastAsia="Arial"/>
          <w:b/>
        </w:rPr>
      </w:pPr>
      <w:r>
        <w:rPr>
          <w:szCs w:val="22"/>
        </w:rPr>
        <w:t>l</w:t>
      </w:r>
      <w:r w:rsidRPr="00204FC0">
        <w:rPr>
          <w:szCs w:val="22"/>
        </w:rPr>
        <w:t>eading, collaborating and presenting with key partners including A</w:t>
      </w:r>
      <w:r w:rsidR="00943304">
        <w:rPr>
          <w:szCs w:val="22"/>
        </w:rPr>
        <w:t xml:space="preserve">ustralian </w:t>
      </w:r>
      <w:r w:rsidRPr="00204FC0">
        <w:rPr>
          <w:szCs w:val="22"/>
        </w:rPr>
        <w:t>F</w:t>
      </w:r>
      <w:r w:rsidR="00943304">
        <w:rPr>
          <w:szCs w:val="22"/>
        </w:rPr>
        <w:t>ire and Emergency Services Authorities Council</w:t>
      </w:r>
      <w:r w:rsidRPr="00204FC0">
        <w:rPr>
          <w:szCs w:val="22"/>
        </w:rPr>
        <w:t>, Queensland University of Technology, Australian Institute of Police Management, Griffith University, C</w:t>
      </w:r>
      <w:r w:rsidR="00943304">
        <w:rPr>
          <w:szCs w:val="22"/>
        </w:rPr>
        <w:t>ouncil on the Ageing</w:t>
      </w:r>
      <w:r w:rsidRPr="00204FC0">
        <w:rPr>
          <w:szCs w:val="22"/>
        </w:rPr>
        <w:t>, Australian Strategic Policy Institute, University of Queensland, and the Australian National University</w:t>
      </w:r>
    </w:p>
    <w:p w14:paraId="4D6CCE68" w14:textId="77777777" w:rsidR="00C937E2" w:rsidRPr="00C937E2" w:rsidRDefault="00C937E2" w:rsidP="0017125F">
      <w:pPr>
        <w:pStyle w:val="ListParagraph"/>
        <w:widowControl w:val="0"/>
        <w:numPr>
          <w:ilvl w:val="0"/>
          <w:numId w:val="10"/>
        </w:numPr>
        <w:tabs>
          <w:tab w:val="left" w:pos="473"/>
        </w:tabs>
        <w:ind w:left="426" w:hanging="568"/>
        <w:contextualSpacing w:val="0"/>
        <w:rPr>
          <w:rFonts w:eastAsia="Arial"/>
          <w:b/>
        </w:rPr>
      </w:pPr>
      <w:r>
        <w:rPr>
          <w:szCs w:val="22"/>
        </w:rPr>
        <w:t>d</w:t>
      </w:r>
      <w:r w:rsidRPr="00204FC0">
        <w:rPr>
          <w:szCs w:val="22"/>
        </w:rPr>
        <w:t>evelopment of a contemporary disaster management analytics dashboard, in collaboration with the Department of Housing and Public Works, to allow enhanced analysis and sharing of data from annual disaster management plan assessments</w:t>
      </w:r>
      <w:r>
        <w:rPr>
          <w:szCs w:val="22"/>
        </w:rPr>
        <w:t>.</w:t>
      </w:r>
    </w:p>
    <w:p w14:paraId="62375774" w14:textId="77777777" w:rsidR="00204FC0" w:rsidRPr="00204FC0" w:rsidRDefault="00204FC0" w:rsidP="00C937E2">
      <w:pPr>
        <w:pStyle w:val="ListParagraph"/>
        <w:ind w:left="-142"/>
        <w:contextualSpacing w:val="0"/>
        <w:rPr>
          <w:szCs w:val="22"/>
        </w:rPr>
      </w:pPr>
      <w:r w:rsidRPr="00204FC0">
        <w:rPr>
          <w:szCs w:val="22"/>
        </w:rPr>
        <w:t xml:space="preserve">While much was achieved in driving disaster management excellence during the financial year, more work needs to be done, particularly in the area of lessons management. </w:t>
      </w:r>
    </w:p>
    <w:p w14:paraId="0022D7A9" w14:textId="77777777" w:rsidR="00204FC0" w:rsidRPr="00204FC0" w:rsidRDefault="00204FC0" w:rsidP="00204FC0">
      <w:pPr>
        <w:ind w:left="-142"/>
        <w:rPr>
          <w:szCs w:val="22"/>
        </w:rPr>
      </w:pPr>
      <w:r w:rsidRPr="00204FC0">
        <w:rPr>
          <w:szCs w:val="22"/>
        </w:rPr>
        <w:t>Accordingly, my goal for the coming year is to expand on the excellent work of 2017-18 and continue to embrace close and collaborative working arrangements with stakeholders, to bring about real change and enhanced confidence in disaster management arrangements in Queensland.</w:t>
      </w:r>
    </w:p>
    <w:p w14:paraId="53B80BB1" w14:textId="77777777" w:rsidR="00204FC0" w:rsidRDefault="00204FC0" w:rsidP="00204FC0">
      <w:pPr>
        <w:ind w:left="-142"/>
        <w:rPr>
          <w:szCs w:val="22"/>
        </w:rPr>
      </w:pPr>
    </w:p>
    <w:p w14:paraId="56A55FF7" w14:textId="77777777" w:rsidR="00943304" w:rsidRPr="00204FC0" w:rsidRDefault="00943304" w:rsidP="00204FC0">
      <w:pPr>
        <w:ind w:left="-142"/>
        <w:rPr>
          <w:szCs w:val="22"/>
        </w:rPr>
      </w:pPr>
    </w:p>
    <w:p w14:paraId="215F66B7" w14:textId="77777777" w:rsidR="00204FC0" w:rsidRDefault="005C7FBD" w:rsidP="00204FC0">
      <w:pPr>
        <w:ind w:left="-142"/>
        <w:rPr>
          <w:szCs w:val="22"/>
        </w:rPr>
      </w:pPr>
      <w:r w:rsidRPr="005C7FBD">
        <w:rPr>
          <w:noProof/>
          <w:szCs w:val="22"/>
          <w:lang w:eastAsia="en-AU"/>
        </w:rPr>
        <w:drawing>
          <wp:inline distT="0" distB="0" distL="0" distR="0" wp14:anchorId="070C926A" wp14:editId="085998A5">
            <wp:extent cx="2390775" cy="884192"/>
            <wp:effectExtent l="0" t="0" r="0" b="0"/>
            <wp:docPr id="2" name="Picture 2" descr="C:\Users\jhawthorne\OneDrive - Inspector-General Emergency Management\Migrated\IG Signa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hawthorne\OneDrive - Inspector-General Emergency Management\Migrated\IG Signatur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03633" cy="888947"/>
                    </a:xfrm>
                    <a:prstGeom prst="rect">
                      <a:avLst/>
                    </a:prstGeom>
                    <a:noFill/>
                    <a:ln>
                      <a:noFill/>
                    </a:ln>
                  </pic:spPr>
                </pic:pic>
              </a:graphicData>
            </a:graphic>
          </wp:inline>
        </w:drawing>
      </w:r>
    </w:p>
    <w:p w14:paraId="63F4481B" w14:textId="77777777" w:rsidR="00204FC0" w:rsidRPr="00204FC0" w:rsidRDefault="00204FC0" w:rsidP="00204FC0">
      <w:pPr>
        <w:ind w:left="-142"/>
        <w:rPr>
          <w:szCs w:val="22"/>
        </w:rPr>
      </w:pPr>
      <w:r w:rsidRPr="00204FC0">
        <w:rPr>
          <w:szCs w:val="22"/>
        </w:rPr>
        <w:t>Iain S MacKenzie AFSM</w:t>
      </w:r>
    </w:p>
    <w:p w14:paraId="2D7F148B" w14:textId="77777777" w:rsidR="00204FC0" w:rsidRPr="00204FC0" w:rsidRDefault="00204FC0" w:rsidP="00204FC0">
      <w:pPr>
        <w:ind w:left="-142"/>
        <w:rPr>
          <w:b/>
          <w:szCs w:val="22"/>
        </w:rPr>
      </w:pPr>
      <w:r w:rsidRPr="00204FC0">
        <w:rPr>
          <w:b/>
          <w:szCs w:val="22"/>
        </w:rPr>
        <w:t>Inspector-General Emergency Management</w:t>
      </w:r>
    </w:p>
    <w:p w14:paraId="7F43DF13" w14:textId="77777777" w:rsidR="007F0709" w:rsidRPr="00885C0E" w:rsidRDefault="000528C0">
      <w:pPr>
        <w:rPr>
          <w:rFonts w:ascii="Arial Bold" w:eastAsia="Times New Roman" w:hAnsi="Arial Bold"/>
          <w:b/>
          <w:i/>
          <w:color w:val="AB054C"/>
          <w:sz w:val="36"/>
          <w14:ligatures w14:val="standardContextual"/>
        </w:rPr>
      </w:pPr>
      <w:r>
        <w:br w:type="page"/>
      </w:r>
      <w:bookmarkStart w:id="6" w:name="_Toc446075103"/>
      <w:bookmarkStart w:id="7" w:name="_Toc490481465"/>
      <w:bookmarkStart w:id="8" w:name="_Toc415049793"/>
      <w:bookmarkStart w:id="9" w:name="_Toc415050345"/>
      <w:bookmarkStart w:id="10" w:name="_Toc441671796"/>
      <w:bookmarkStart w:id="11" w:name="_Toc441672084"/>
      <w:bookmarkStart w:id="12" w:name="_Toc442168872"/>
      <w:bookmarkStart w:id="13" w:name="_Toc442339177"/>
    </w:p>
    <w:p w14:paraId="69D1E026" w14:textId="77777777" w:rsidR="00EE0911" w:rsidRPr="00AA2282" w:rsidRDefault="00EE0911" w:rsidP="00871057">
      <w:pPr>
        <w:pStyle w:val="Heading1"/>
        <w:ind w:left="142" w:right="77" w:hanging="142"/>
      </w:pPr>
      <w:bookmarkStart w:id="14" w:name="_Toc522266456"/>
      <w:bookmarkStart w:id="15" w:name="_Toc524519402"/>
      <w:r w:rsidRPr="00AA2282">
        <w:lastRenderedPageBreak/>
        <w:t>Overview</w:t>
      </w:r>
      <w:bookmarkEnd w:id="6"/>
      <w:bookmarkEnd w:id="7"/>
      <w:bookmarkEnd w:id="14"/>
      <w:bookmarkEnd w:id="15"/>
    </w:p>
    <w:p w14:paraId="33910293" w14:textId="77777777" w:rsidR="006B6F31" w:rsidRDefault="00AA4F42" w:rsidP="003463C9">
      <w:pPr>
        <w:pStyle w:val="Heading2"/>
      </w:pPr>
      <w:bookmarkStart w:id="16" w:name="_Toc524519403"/>
      <w:bookmarkStart w:id="17" w:name="_TOC_250018"/>
      <w:bookmarkStart w:id="18" w:name="_Toc441671800"/>
      <w:bookmarkStart w:id="19" w:name="_Toc441672088"/>
      <w:bookmarkStart w:id="20" w:name="_Toc442168876"/>
      <w:bookmarkStart w:id="21" w:name="_Toc522266457"/>
      <w:bookmarkStart w:id="22" w:name="_Toc415049798"/>
      <w:bookmarkStart w:id="23" w:name="_Toc415050350"/>
      <w:bookmarkEnd w:id="8"/>
      <w:bookmarkEnd w:id="9"/>
      <w:bookmarkEnd w:id="10"/>
      <w:bookmarkEnd w:id="11"/>
      <w:bookmarkEnd w:id="12"/>
      <w:bookmarkEnd w:id="13"/>
      <w:r>
        <w:t>About us</w:t>
      </w:r>
      <w:bookmarkEnd w:id="16"/>
      <w:r>
        <w:t xml:space="preserve"> </w:t>
      </w:r>
      <w:bookmarkEnd w:id="17"/>
      <w:bookmarkEnd w:id="18"/>
      <w:bookmarkEnd w:id="19"/>
      <w:bookmarkEnd w:id="20"/>
      <w:bookmarkEnd w:id="21"/>
    </w:p>
    <w:p w14:paraId="5D1C830A" w14:textId="77777777" w:rsidR="00C768CD" w:rsidRPr="00667FC5" w:rsidRDefault="00C768CD" w:rsidP="00C768CD">
      <w:pPr>
        <w:pBdr>
          <w:top w:val="single" w:sz="24" w:space="8" w:color="AB054C"/>
          <w:bottom w:val="single" w:sz="24" w:space="8" w:color="AB054C"/>
        </w:pBdr>
        <w:ind w:left="851" w:right="1310"/>
        <w:jc w:val="center"/>
        <w:rPr>
          <w:b/>
          <w:bCs/>
          <w:i/>
          <w:iCs/>
          <w:color w:val="990033"/>
          <w:sz w:val="24"/>
          <w:szCs w:val="24"/>
        </w:rPr>
      </w:pPr>
      <w:r w:rsidRPr="00667FC5">
        <w:rPr>
          <w:b/>
          <w:i/>
          <w:iCs/>
          <w:color w:val="990033"/>
          <w:sz w:val="24"/>
          <w:szCs w:val="24"/>
        </w:rPr>
        <w:t>Our vision</w:t>
      </w:r>
    </w:p>
    <w:p w14:paraId="29DBF4F8" w14:textId="331FCAC5" w:rsidR="00C768CD" w:rsidRPr="00AE6BEA" w:rsidRDefault="00C768CD" w:rsidP="00C768CD">
      <w:pPr>
        <w:pBdr>
          <w:top w:val="single" w:sz="24" w:space="8" w:color="AB054C"/>
          <w:bottom w:val="single" w:sz="24" w:space="8" w:color="AB054C"/>
        </w:pBdr>
        <w:ind w:left="851" w:right="1310"/>
        <w:jc w:val="center"/>
        <w:rPr>
          <w:i/>
          <w:iCs/>
          <w:color w:val="990033"/>
          <w:sz w:val="24"/>
          <w:szCs w:val="24"/>
        </w:rPr>
      </w:pPr>
      <w:r w:rsidRPr="00AE6BEA">
        <w:rPr>
          <w:i/>
          <w:iCs/>
          <w:color w:val="990033"/>
          <w:sz w:val="24"/>
          <w:szCs w:val="24"/>
        </w:rPr>
        <w:t xml:space="preserve">A catalyst for excellence in </w:t>
      </w:r>
      <w:r>
        <w:rPr>
          <w:i/>
          <w:iCs/>
          <w:color w:val="990033"/>
          <w:sz w:val="24"/>
          <w:szCs w:val="24"/>
        </w:rPr>
        <w:t>e</w:t>
      </w:r>
      <w:r w:rsidRPr="00AE6BEA">
        <w:rPr>
          <w:i/>
          <w:iCs/>
          <w:color w:val="990033"/>
          <w:sz w:val="24"/>
          <w:szCs w:val="24"/>
        </w:rPr>
        <w:t xml:space="preserve">mergency </w:t>
      </w:r>
      <w:r>
        <w:rPr>
          <w:i/>
          <w:iCs/>
          <w:color w:val="990033"/>
          <w:sz w:val="24"/>
          <w:szCs w:val="24"/>
        </w:rPr>
        <w:t>m</w:t>
      </w:r>
      <w:r w:rsidRPr="00AE6BEA">
        <w:rPr>
          <w:i/>
          <w:iCs/>
          <w:color w:val="990033"/>
          <w:sz w:val="24"/>
          <w:szCs w:val="24"/>
        </w:rPr>
        <w:t>anagement</w:t>
      </w:r>
    </w:p>
    <w:p w14:paraId="76519BDE" w14:textId="77777777" w:rsidR="00C768CD" w:rsidRPr="00667FC5" w:rsidRDefault="00C768CD" w:rsidP="00C768CD">
      <w:pPr>
        <w:pStyle w:val="BodyText"/>
        <w:ind w:right="614"/>
        <w:rPr>
          <w:color w:val="990033"/>
        </w:rPr>
      </w:pPr>
    </w:p>
    <w:p w14:paraId="33D58252" w14:textId="77777777" w:rsidR="00C768CD" w:rsidRPr="00667FC5" w:rsidRDefault="00C768CD" w:rsidP="00C768CD">
      <w:pPr>
        <w:pBdr>
          <w:top w:val="single" w:sz="24" w:space="8" w:color="AB054C"/>
          <w:bottom w:val="single" w:sz="24" w:space="8" w:color="AB054C"/>
        </w:pBdr>
        <w:ind w:left="851" w:right="1310"/>
        <w:jc w:val="center"/>
        <w:rPr>
          <w:b/>
          <w:bCs/>
          <w:i/>
          <w:iCs/>
          <w:color w:val="990033"/>
          <w:sz w:val="24"/>
          <w:szCs w:val="24"/>
        </w:rPr>
      </w:pPr>
      <w:r w:rsidRPr="00667FC5">
        <w:rPr>
          <w:b/>
          <w:i/>
          <w:iCs/>
          <w:color w:val="990033"/>
          <w:sz w:val="24"/>
          <w:szCs w:val="24"/>
        </w:rPr>
        <w:t>Our purpose</w:t>
      </w:r>
    </w:p>
    <w:p w14:paraId="20F54235" w14:textId="65B2AFCC" w:rsidR="00C768CD" w:rsidRPr="00AE6BEA" w:rsidRDefault="00C768CD" w:rsidP="00C768CD">
      <w:pPr>
        <w:pBdr>
          <w:top w:val="single" w:sz="24" w:space="8" w:color="AB054C"/>
          <w:bottom w:val="single" w:sz="24" w:space="8" w:color="AB054C"/>
        </w:pBdr>
        <w:ind w:left="851" w:right="1310"/>
        <w:jc w:val="center"/>
        <w:rPr>
          <w:i/>
          <w:iCs/>
          <w:color w:val="990033"/>
          <w:sz w:val="24"/>
          <w:szCs w:val="24"/>
        </w:rPr>
      </w:pPr>
      <w:r w:rsidRPr="00AE6BEA">
        <w:rPr>
          <w:i/>
          <w:iCs/>
          <w:color w:val="990033"/>
          <w:sz w:val="24"/>
          <w:szCs w:val="24"/>
        </w:rPr>
        <w:t>To enable confidence in Queensland’s emergency management arrangements</w:t>
      </w:r>
    </w:p>
    <w:p w14:paraId="7BF9AA7D" w14:textId="77777777" w:rsidR="00F960B4" w:rsidRDefault="00E7443D" w:rsidP="00F960B4">
      <w:pPr>
        <w:ind w:left="-142"/>
      </w:pPr>
      <w:r>
        <w:t>T</w:t>
      </w:r>
      <w:r w:rsidRPr="00A250E2">
        <w:t xml:space="preserve">he Office of the </w:t>
      </w:r>
      <w:r>
        <w:t>I</w:t>
      </w:r>
      <w:r w:rsidR="00F960B4">
        <w:t xml:space="preserve">nspector-General </w:t>
      </w:r>
      <w:r w:rsidRPr="00A250E2">
        <w:t>E</w:t>
      </w:r>
      <w:r w:rsidR="00F960B4">
        <w:t xml:space="preserve">mergency Management (the Office) </w:t>
      </w:r>
      <w:r w:rsidRPr="00A250E2">
        <w:t>was formally established as a public service office on 1 July 2014</w:t>
      </w:r>
      <w:r w:rsidR="0088474D">
        <w:t>,</w:t>
      </w:r>
      <w:r w:rsidR="00C768CD">
        <w:t xml:space="preserve"> under</w:t>
      </w:r>
      <w:r w:rsidRPr="00A250E2">
        <w:rPr>
          <w:spacing w:val="-1"/>
        </w:rPr>
        <w:t xml:space="preserve"> </w:t>
      </w:r>
      <w:r w:rsidRPr="00A250E2">
        <w:t xml:space="preserve">amendments to the </w:t>
      </w:r>
      <w:r w:rsidRPr="00A250E2">
        <w:rPr>
          <w:i/>
        </w:rPr>
        <w:t>Disaster Management Act 2003</w:t>
      </w:r>
      <w:r w:rsidR="0088474D" w:rsidRPr="0088474D">
        <w:t>,</w:t>
      </w:r>
      <w:r w:rsidRPr="00A250E2">
        <w:rPr>
          <w:i/>
        </w:rPr>
        <w:t xml:space="preserve"> </w:t>
      </w:r>
      <w:r w:rsidRPr="00A250E2">
        <w:t>to support confidence in</w:t>
      </w:r>
      <w:r w:rsidRPr="00A250E2">
        <w:rPr>
          <w:spacing w:val="-19"/>
        </w:rPr>
        <w:t xml:space="preserve"> </w:t>
      </w:r>
      <w:r w:rsidRPr="00A250E2">
        <w:t xml:space="preserve">Queensland’s emergency management arrangements. </w:t>
      </w:r>
    </w:p>
    <w:p w14:paraId="340E894D" w14:textId="77777777" w:rsidR="00F960B4" w:rsidRPr="005E4509" w:rsidRDefault="00F960B4" w:rsidP="00F960B4">
      <w:pPr>
        <w:pStyle w:val="BodyText"/>
        <w:ind w:left="-142"/>
      </w:pPr>
      <w:r w:rsidRPr="005E4509">
        <w:t>The Office provides independent assurance and advice about Queensland’s</w:t>
      </w:r>
      <w:r w:rsidRPr="005E4509">
        <w:rPr>
          <w:spacing w:val="-33"/>
        </w:rPr>
        <w:t xml:space="preserve"> </w:t>
      </w:r>
      <w:r w:rsidRPr="005E4509">
        <w:t>emergency management arrangements, with a focus on a risk</w:t>
      </w:r>
      <w:r w:rsidR="0088474D">
        <w:t>-</w:t>
      </w:r>
      <w:r w:rsidRPr="005E4509">
        <w:t>based approach</w:t>
      </w:r>
      <w:r>
        <w:t>. It</w:t>
      </w:r>
      <w:r w:rsidRPr="005E4509">
        <w:t xml:space="preserve"> also provides authoritative reporting to enhance accountability and</w:t>
      </w:r>
      <w:r w:rsidRPr="005E4509">
        <w:rPr>
          <w:spacing w:val="-13"/>
        </w:rPr>
        <w:t xml:space="preserve"> </w:t>
      </w:r>
      <w:r w:rsidRPr="005E4509">
        <w:t>improve outcomes for the</w:t>
      </w:r>
      <w:r w:rsidRPr="005E4509">
        <w:rPr>
          <w:spacing w:val="-11"/>
        </w:rPr>
        <w:t xml:space="preserve"> </w:t>
      </w:r>
      <w:r w:rsidRPr="005E4509">
        <w:t>community.</w:t>
      </w:r>
    </w:p>
    <w:p w14:paraId="2CB62D9C" w14:textId="77777777" w:rsidR="00F960B4" w:rsidRDefault="00F960B4" w:rsidP="00F960B4">
      <w:pPr>
        <w:pStyle w:val="BodyText"/>
        <w:ind w:left="-142"/>
      </w:pPr>
      <w:r>
        <w:t xml:space="preserve">The Office </w:t>
      </w:r>
      <w:r w:rsidRPr="005E4509">
        <w:t>undertakes</w:t>
      </w:r>
      <w:r w:rsidRPr="005E4509">
        <w:rPr>
          <w:spacing w:val="-1"/>
        </w:rPr>
        <w:t xml:space="preserve"> </w:t>
      </w:r>
      <w:r w:rsidRPr="005E4509">
        <w:t>targeted reviews and system analysis to identify risks to emergency management</w:t>
      </w:r>
      <w:r w:rsidRPr="005E4509">
        <w:rPr>
          <w:spacing w:val="-24"/>
        </w:rPr>
        <w:t xml:space="preserve"> </w:t>
      </w:r>
      <w:r w:rsidRPr="005E4509">
        <w:t>planning,</w:t>
      </w:r>
      <w:r w:rsidRPr="005E4509">
        <w:rPr>
          <w:spacing w:val="-1"/>
        </w:rPr>
        <w:t xml:space="preserve"> </w:t>
      </w:r>
      <w:r w:rsidRPr="005E4509">
        <w:t>preparedness, response and recovery arrangements and recommends</w:t>
      </w:r>
      <w:r w:rsidRPr="005E4509">
        <w:rPr>
          <w:spacing w:val="-18"/>
        </w:rPr>
        <w:t xml:space="preserve"> </w:t>
      </w:r>
      <w:r w:rsidRPr="005E4509">
        <w:t>evidence-based</w:t>
      </w:r>
      <w:r w:rsidRPr="005E4509">
        <w:rPr>
          <w:spacing w:val="-1"/>
        </w:rPr>
        <w:t xml:space="preserve"> </w:t>
      </w:r>
      <w:r w:rsidRPr="005E4509">
        <w:t>improvements.</w:t>
      </w:r>
    </w:p>
    <w:p w14:paraId="64007CF5" w14:textId="77777777" w:rsidR="00F960B4" w:rsidRDefault="00E7443D" w:rsidP="00F960B4">
      <w:pPr>
        <w:pStyle w:val="BodyText"/>
        <w:ind w:left="-142"/>
      </w:pPr>
      <w:r w:rsidRPr="00A250E2">
        <w:t xml:space="preserve">Disaster management within Queensland is </w:t>
      </w:r>
      <w:r>
        <w:t>built</w:t>
      </w:r>
      <w:r w:rsidRPr="00A250E2">
        <w:t xml:space="preserve"> on local capability and capacity,</w:t>
      </w:r>
      <w:r w:rsidRPr="00A250E2">
        <w:rPr>
          <w:spacing w:val="-27"/>
        </w:rPr>
        <w:t xml:space="preserve"> </w:t>
      </w:r>
      <w:r w:rsidRPr="00A250E2">
        <w:t>supported</w:t>
      </w:r>
      <w:r w:rsidRPr="00A250E2">
        <w:rPr>
          <w:spacing w:val="-1"/>
        </w:rPr>
        <w:t xml:space="preserve"> </w:t>
      </w:r>
      <w:r w:rsidRPr="00A250E2">
        <w:t xml:space="preserve">and </w:t>
      </w:r>
      <w:r>
        <w:t>strengthened</w:t>
      </w:r>
      <w:r w:rsidRPr="00A250E2">
        <w:t xml:space="preserve"> through a scalable, responsive model. The model builds </w:t>
      </w:r>
      <w:r>
        <w:t xml:space="preserve">on </w:t>
      </w:r>
      <w:r w:rsidRPr="00A250E2">
        <w:t>the availability</w:t>
      </w:r>
      <w:r w:rsidRPr="00A250E2">
        <w:rPr>
          <w:spacing w:val="-37"/>
        </w:rPr>
        <w:t xml:space="preserve"> </w:t>
      </w:r>
      <w:r w:rsidRPr="00A250E2">
        <w:t>and</w:t>
      </w:r>
      <w:r w:rsidRPr="00A250E2">
        <w:rPr>
          <w:spacing w:val="-1"/>
        </w:rPr>
        <w:t xml:space="preserve"> </w:t>
      </w:r>
      <w:r w:rsidRPr="00A250E2">
        <w:t>coordination of support at local, district, state and national levels. The success of the system</w:t>
      </w:r>
      <w:r>
        <w:rPr>
          <w:spacing w:val="-34"/>
        </w:rPr>
        <w:t xml:space="preserve"> </w:t>
      </w:r>
      <w:r w:rsidRPr="00A250E2">
        <w:t>relies</w:t>
      </w:r>
      <w:r w:rsidRPr="00A250E2">
        <w:rPr>
          <w:spacing w:val="-1"/>
        </w:rPr>
        <w:t xml:space="preserve"> </w:t>
      </w:r>
      <w:r w:rsidRPr="00A250E2">
        <w:t xml:space="preserve">on </w:t>
      </w:r>
      <w:r>
        <w:t>key stakeholders</w:t>
      </w:r>
      <w:r w:rsidRPr="00A250E2">
        <w:t xml:space="preserve"> working </w:t>
      </w:r>
      <w:r w:rsidR="00E95907">
        <w:t xml:space="preserve">together in </w:t>
      </w:r>
      <w:r w:rsidRPr="00A250E2">
        <w:t>collaborative</w:t>
      </w:r>
      <w:r w:rsidR="00E95907">
        <w:t xml:space="preserve"> </w:t>
      </w:r>
      <w:r w:rsidRPr="00A250E2">
        <w:t>and cooperative</w:t>
      </w:r>
      <w:r w:rsidR="00E95907">
        <w:t xml:space="preserve"> ways</w:t>
      </w:r>
      <w:r w:rsidRPr="00A250E2">
        <w:t>.</w:t>
      </w:r>
    </w:p>
    <w:p w14:paraId="01C6A131" w14:textId="77777777" w:rsidR="00F960B4" w:rsidRDefault="003D5FBE" w:rsidP="00F960B4">
      <w:pPr>
        <w:ind w:left="-142"/>
      </w:pPr>
      <w:r>
        <w:t xml:space="preserve">The Office delivers its services from Brisbane. </w:t>
      </w:r>
    </w:p>
    <w:p w14:paraId="3C2294A4" w14:textId="77777777" w:rsidR="00AE0D35" w:rsidRDefault="00AE0D35" w:rsidP="006D0FF1">
      <w:pPr>
        <w:pStyle w:val="Heading3"/>
      </w:pPr>
      <w:r w:rsidRPr="00732ADA">
        <w:t>Our accountabilities</w:t>
      </w:r>
    </w:p>
    <w:p w14:paraId="15AD2822" w14:textId="77777777" w:rsidR="0056360A" w:rsidRPr="005E4509" w:rsidRDefault="0056360A" w:rsidP="00F960B4">
      <w:pPr>
        <w:ind w:left="426" w:hanging="568"/>
        <w:rPr>
          <w:rFonts w:eastAsia="Arial"/>
        </w:rPr>
      </w:pPr>
      <w:r w:rsidRPr="005E4509">
        <w:t xml:space="preserve">The </w:t>
      </w:r>
      <w:r w:rsidR="000209DD">
        <w:t xml:space="preserve">Office has the following </w:t>
      </w:r>
      <w:r w:rsidRPr="005E4509">
        <w:t xml:space="preserve">functions under the </w:t>
      </w:r>
      <w:r w:rsidRPr="005E4509">
        <w:rPr>
          <w:i/>
        </w:rPr>
        <w:t>Disaster Management Act 2003</w:t>
      </w:r>
      <w:r w:rsidRPr="005E4509">
        <w:t>:</w:t>
      </w:r>
    </w:p>
    <w:p w14:paraId="2EE94E95" w14:textId="77777777" w:rsidR="0056360A" w:rsidRPr="00A250E2" w:rsidRDefault="0056360A" w:rsidP="0017125F">
      <w:pPr>
        <w:pStyle w:val="ListParagraph"/>
        <w:widowControl w:val="0"/>
        <w:numPr>
          <w:ilvl w:val="0"/>
          <w:numId w:val="10"/>
        </w:numPr>
        <w:tabs>
          <w:tab w:val="left" w:pos="473"/>
        </w:tabs>
        <w:ind w:left="426" w:hanging="568"/>
        <w:contextualSpacing w:val="0"/>
        <w:rPr>
          <w:rFonts w:eastAsia="Arial"/>
        </w:rPr>
      </w:pPr>
      <w:r w:rsidRPr="00A250E2">
        <w:t xml:space="preserve">regularly review and assess the </w:t>
      </w:r>
      <w:r w:rsidRPr="00207679">
        <w:rPr>
          <w:bCs/>
        </w:rPr>
        <w:t>effectiveness</w:t>
      </w:r>
      <w:r w:rsidRPr="00A250E2">
        <w:t xml:space="preserve"> of disaster management by the state, including</w:t>
      </w:r>
      <w:r>
        <w:t xml:space="preserve"> </w:t>
      </w:r>
      <w:r w:rsidRPr="00A250E2">
        <w:t>the</w:t>
      </w:r>
      <w:r w:rsidRPr="00A250E2">
        <w:rPr>
          <w:spacing w:val="-1"/>
        </w:rPr>
        <w:t xml:space="preserve"> </w:t>
      </w:r>
      <w:r w:rsidRPr="00BF45EB">
        <w:rPr>
          <w:i/>
        </w:rPr>
        <w:t>State Disaster Management Plan</w:t>
      </w:r>
      <w:r w:rsidRPr="00A250E2">
        <w:t xml:space="preserve"> and its</w:t>
      </w:r>
      <w:r w:rsidRPr="00A250E2">
        <w:rPr>
          <w:spacing w:val="-5"/>
        </w:rPr>
        <w:t xml:space="preserve"> </w:t>
      </w:r>
      <w:r w:rsidRPr="00A250E2">
        <w:t>implementation</w:t>
      </w:r>
    </w:p>
    <w:p w14:paraId="477886BD" w14:textId="77777777" w:rsidR="0056360A" w:rsidRPr="00A250E2" w:rsidRDefault="0056360A" w:rsidP="0017125F">
      <w:pPr>
        <w:pStyle w:val="ListParagraph"/>
        <w:widowControl w:val="0"/>
        <w:numPr>
          <w:ilvl w:val="0"/>
          <w:numId w:val="10"/>
        </w:numPr>
        <w:tabs>
          <w:tab w:val="left" w:pos="473"/>
        </w:tabs>
        <w:ind w:left="426" w:hanging="568"/>
        <w:contextualSpacing w:val="0"/>
        <w:rPr>
          <w:rFonts w:eastAsia="Arial"/>
        </w:rPr>
      </w:pPr>
      <w:r w:rsidRPr="00207679">
        <w:rPr>
          <w:bCs/>
        </w:rPr>
        <w:t>regularly</w:t>
      </w:r>
      <w:r w:rsidRPr="00A250E2">
        <w:t xml:space="preserve"> review and assess the effectiveness of disaster management by district and</w:t>
      </w:r>
      <w:r w:rsidRPr="00A250E2">
        <w:rPr>
          <w:spacing w:val="-31"/>
        </w:rPr>
        <w:t xml:space="preserve"> </w:t>
      </w:r>
      <w:r w:rsidRPr="00A250E2">
        <w:t>local</w:t>
      </w:r>
      <w:r w:rsidRPr="00A250E2">
        <w:rPr>
          <w:spacing w:val="-1"/>
        </w:rPr>
        <w:t xml:space="preserve"> </w:t>
      </w:r>
      <w:r w:rsidRPr="00A250E2">
        <w:t>groups, including district and local disaster management</w:t>
      </w:r>
      <w:r w:rsidRPr="00A250E2">
        <w:rPr>
          <w:spacing w:val="-4"/>
        </w:rPr>
        <w:t xml:space="preserve"> </w:t>
      </w:r>
      <w:r w:rsidRPr="00A250E2">
        <w:t>plans</w:t>
      </w:r>
    </w:p>
    <w:p w14:paraId="75D5EDFA" w14:textId="77777777" w:rsidR="0056360A" w:rsidRPr="00A250E2" w:rsidRDefault="0056360A" w:rsidP="0017125F">
      <w:pPr>
        <w:pStyle w:val="ListParagraph"/>
        <w:widowControl w:val="0"/>
        <w:numPr>
          <w:ilvl w:val="0"/>
          <w:numId w:val="10"/>
        </w:numPr>
        <w:tabs>
          <w:tab w:val="left" w:pos="473"/>
        </w:tabs>
        <w:ind w:left="426" w:hanging="568"/>
        <w:contextualSpacing w:val="0"/>
        <w:rPr>
          <w:rFonts w:eastAsia="Arial"/>
        </w:rPr>
      </w:pPr>
      <w:r w:rsidRPr="00207679">
        <w:rPr>
          <w:bCs/>
        </w:rPr>
        <w:t>regularly</w:t>
      </w:r>
      <w:r w:rsidRPr="00A250E2">
        <w:t xml:space="preserve"> review and assess cooperation between entities responsible for disaster</w:t>
      </w:r>
      <w:r w:rsidRPr="00A250E2">
        <w:rPr>
          <w:spacing w:val="-35"/>
        </w:rPr>
        <w:t xml:space="preserve"> </w:t>
      </w:r>
      <w:r w:rsidRPr="00A250E2">
        <w:t>management</w:t>
      </w:r>
      <w:r w:rsidRPr="00A250E2">
        <w:rPr>
          <w:spacing w:val="-1"/>
        </w:rPr>
        <w:t xml:space="preserve"> </w:t>
      </w:r>
      <w:r w:rsidRPr="00A250E2">
        <w:t>in the state, including whether the disaster management systems and procedures employed</w:t>
      </w:r>
      <w:r w:rsidRPr="00A250E2">
        <w:rPr>
          <w:spacing w:val="-32"/>
        </w:rPr>
        <w:t xml:space="preserve"> </w:t>
      </w:r>
      <w:r w:rsidRPr="00A250E2">
        <w:t>by</w:t>
      </w:r>
      <w:r w:rsidRPr="00A250E2">
        <w:rPr>
          <w:spacing w:val="-1"/>
        </w:rPr>
        <w:t xml:space="preserve"> </w:t>
      </w:r>
      <w:r w:rsidRPr="00A250E2">
        <w:t>those entities are compatible and</w:t>
      </w:r>
      <w:r w:rsidRPr="00A250E2">
        <w:rPr>
          <w:spacing w:val="-2"/>
        </w:rPr>
        <w:t xml:space="preserve"> </w:t>
      </w:r>
      <w:r w:rsidRPr="00A250E2">
        <w:t>consistent</w:t>
      </w:r>
    </w:p>
    <w:p w14:paraId="2B17908C" w14:textId="77777777" w:rsidR="0056360A" w:rsidRPr="00A250E2" w:rsidRDefault="0056360A" w:rsidP="0017125F">
      <w:pPr>
        <w:pStyle w:val="ListParagraph"/>
        <w:widowControl w:val="0"/>
        <w:numPr>
          <w:ilvl w:val="0"/>
          <w:numId w:val="10"/>
        </w:numPr>
        <w:tabs>
          <w:tab w:val="left" w:pos="473"/>
        </w:tabs>
        <w:ind w:left="426" w:hanging="568"/>
        <w:contextualSpacing w:val="0"/>
        <w:rPr>
          <w:rFonts w:eastAsia="Arial"/>
        </w:rPr>
      </w:pPr>
      <w:r w:rsidRPr="00207679">
        <w:rPr>
          <w:bCs/>
        </w:rPr>
        <w:t>make</w:t>
      </w:r>
      <w:r w:rsidRPr="00A250E2">
        <w:t xml:space="preserve"> disaster management</w:t>
      </w:r>
      <w:r w:rsidRPr="00A250E2">
        <w:rPr>
          <w:spacing w:val="-2"/>
        </w:rPr>
        <w:t xml:space="preserve"> </w:t>
      </w:r>
      <w:r w:rsidRPr="00A250E2">
        <w:t>standards</w:t>
      </w:r>
    </w:p>
    <w:p w14:paraId="42112719" w14:textId="77777777" w:rsidR="0056360A" w:rsidRPr="00A250E2" w:rsidRDefault="0056360A" w:rsidP="0017125F">
      <w:pPr>
        <w:pStyle w:val="ListParagraph"/>
        <w:widowControl w:val="0"/>
        <w:numPr>
          <w:ilvl w:val="0"/>
          <w:numId w:val="10"/>
        </w:numPr>
        <w:tabs>
          <w:tab w:val="left" w:pos="473"/>
        </w:tabs>
        <w:ind w:left="426" w:hanging="568"/>
        <w:contextualSpacing w:val="0"/>
        <w:rPr>
          <w:rFonts w:eastAsia="Arial"/>
        </w:rPr>
      </w:pPr>
      <w:r w:rsidRPr="00207679">
        <w:rPr>
          <w:bCs/>
        </w:rPr>
        <w:t>regularly</w:t>
      </w:r>
      <w:r w:rsidRPr="00A250E2">
        <w:t xml:space="preserve"> review and assess disaster management</w:t>
      </w:r>
      <w:r w:rsidRPr="00A250E2">
        <w:rPr>
          <w:spacing w:val="-5"/>
        </w:rPr>
        <w:t xml:space="preserve"> </w:t>
      </w:r>
      <w:r w:rsidRPr="00A250E2">
        <w:t>standards</w:t>
      </w:r>
    </w:p>
    <w:p w14:paraId="2715B490" w14:textId="77777777" w:rsidR="0056360A" w:rsidRPr="00A250E2" w:rsidRDefault="0056360A" w:rsidP="0017125F">
      <w:pPr>
        <w:pStyle w:val="ListParagraph"/>
        <w:widowControl w:val="0"/>
        <w:numPr>
          <w:ilvl w:val="0"/>
          <w:numId w:val="10"/>
        </w:numPr>
        <w:tabs>
          <w:tab w:val="left" w:pos="473"/>
        </w:tabs>
        <w:ind w:left="426" w:hanging="568"/>
        <w:contextualSpacing w:val="0"/>
        <w:rPr>
          <w:rFonts w:eastAsia="Arial"/>
        </w:rPr>
      </w:pPr>
      <w:r w:rsidRPr="00207679">
        <w:rPr>
          <w:bCs/>
        </w:rPr>
        <w:t>review</w:t>
      </w:r>
      <w:r w:rsidRPr="00A250E2">
        <w:t>, assess and report on performance by entities responsible for disaster management in</w:t>
      </w:r>
      <w:r w:rsidRPr="00A250E2">
        <w:rPr>
          <w:spacing w:val="-31"/>
        </w:rPr>
        <w:t xml:space="preserve"> </w:t>
      </w:r>
      <w:r w:rsidRPr="00A250E2">
        <w:t>the</w:t>
      </w:r>
      <w:r w:rsidRPr="00A250E2">
        <w:rPr>
          <w:spacing w:val="-1"/>
        </w:rPr>
        <w:t xml:space="preserve"> </w:t>
      </w:r>
      <w:r w:rsidRPr="00A250E2">
        <w:t>state against the disaster management</w:t>
      </w:r>
      <w:r w:rsidRPr="00A250E2">
        <w:rPr>
          <w:spacing w:val="-8"/>
        </w:rPr>
        <w:t xml:space="preserve"> </w:t>
      </w:r>
      <w:r w:rsidRPr="00A250E2">
        <w:t>standards</w:t>
      </w:r>
    </w:p>
    <w:p w14:paraId="06BCC0EC" w14:textId="77777777" w:rsidR="0056360A" w:rsidRPr="00A250E2" w:rsidRDefault="0056360A" w:rsidP="0017125F">
      <w:pPr>
        <w:pStyle w:val="ListParagraph"/>
        <w:widowControl w:val="0"/>
        <w:numPr>
          <w:ilvl w:val="0"/>
          <w:numId w:val="10"/>
        </w:numPr>
        <w:tabs>
          <w:tab w:val="left" w:pos="473"/>
        </w:tabs>
        <w:ind w:left="426" w:hanging="568"/>
        <w:contextualSpacing w:val="0"/>
        <w:rPr>
          <w:rFonts w:eastAsia="Arial"/>
        </w:rPr>
      </w:pPr>
      <w:r w:rsidRPr="00207679">
        <w:rPr>
          <w:bCs/>
        </w:rPr>
        <w:t>work</w:t>
      </w:r>
      <w:r w:rsidRPr="00A250E2">
        <w:t xml:space="preserve"> with entities performing emergency services, departments and the community to</w:t>
      </w:r>
      <w:r w:rsidRPr="00A250E2">
        <w:rPr>
          <w:spacing w:val="-29"/>
        </w:rPr>
        <w:t xml:space="preserve"> </w:t>
      </w:r>
      <w:r w:rsidRPr="00A250E2">
        <w:t>identify and improve disaster management capabilities, including volunteer</w:t>
      </w:r>
      <w:r w:rsidRPr="00A250E2">
        <w:rPr>
          <w:spacing w:val="-5"/>
        </w:rPr>
        <w:t xml:space="preserve"> </w:t>
      </w:r>
      <w:r w:rsidRPr="00A250E2">
        <w:t>capabilities</w:t>
      </w:r>
    </w:p>
    <w:p w14:paraId="1241D196" w14:textId="77777777" w:rsidR="0056360A" w:rsidRPr="00A250E2" w:rsidRDefault="0056360A" w:rsidP="0017125F">
      <w:pPr>
        <w:pStyle w:val="ListParagraph"/>
        <w:widowControl w:val="0"/>
        <w:numPr>
          <w:ilvl w:val="0"/>
          <w:numId w:val="10"/>
        </w:numPr>
        <w:tabs>
          <w:tab w:val="left" w:pos="473"/>
        </w:tabs>
        <w:ind w:left="426" w:hanging="568"/>
        <w:contextualSpacing w:val="0"/>
        <w:rPr>
          <w:rFonts w:eastAsia="Arial"/>
        </w:rPr>
      </w:pPr>
      <w:r w:rsidRPr="00207679">
        <w:rPr>
          <w:bCs/>
        </w:rPr>
        <w:t>monitor</w:t>
      </w:r>
      <w:r w:rsidRPr="00A250E2">
        <w:t xml:space="preserve"> compliance by departments with their disaster management</w:t>
      </w:r>
      <w:r w:rsidRPr="00A250E2">
        <w:rPr>
          <w:spacing w:val="-15"/>
        </w:rPr>
        <w:t xml:space="preserve"> </w:t>
      </w:r>
      <w:r w:rsidRPr="00A250E2">
        <w:t>responsibilities</w:t>
      </w:r>
    </w:p>
    <w:p w14:paraId="021235A6" w14:textId="77777777" w:rsidR="0056360A" w:rsidRPr="00A250E2" w:rsidRDefault="0056360A" w:rsidP="0017125F">
      <w:pPr>
        <w:pStyle w:val="ListParagraph"/>
        <w:widowControl w:val="0"/>
        <w:numPr>
          <w:ilvl w:val="0"/>
          <w:numId w:val="10"/>
        </w:numPr>
        <w:tabs>
          <w:tab w:val="left" w:pos="473"/>
        </w:tabs>
        <w:ind w:left="426" w:hanging="568"/>
        <w:contextualSpacing w:val="0"/>
        <w:rPr>
          <w:rFonts w:eastAsia="Arial"/>
        </w:rPr>
      </w:pPr>
      <w:r w:rsidRPr="00207679">
        <w:rPr>
          <w:bCs/>
        </w:rPr>
        <w:t>identify</w:t>
      </w:r>
      <w:r w:rsidRPr="00A250E2">
        <w:t xml:space="preserve"> opportunities for cooperative partnerships to improve disaster management</w:t>
      </w:r>
      <w:r w:rsidRPr="00A250E2">
        <w:rPr>
          <w:spacing w:val="-24"/>
        </w:rPr>
        <w:t xml:space="preserve"> </w:t>
      </w:r>
      <w:r w:rsidRPr="00A250E2">
        <w:t>outcomes</w:t>
      </w:r>
    </w:p>
    <w:p w14:paraId="0FA0BFBB" w14:textId="77777777" w:rsidR="0056360A" w:rsidRPr="001A7E9D" w:rsidRDefault="0056360A" w:rsidP="0017125F">
      <w:pPr>
        <w:pStyle w:val="ListParagraph"/>
        <w:widowControl w:val="0"/>
        <w:numPr>
          <w:ilvl w:val="0"/>
          <w:numId w:val="10"/>
        </w:numPr>
        <w:tabs>
          <w:tab w:val="left" w:pos="473"/>
        </w:tabs>
        <w:ind w:left="426" w:hanging="568"/>
        <w:contextualSpacing w:val="0"/>
        <w:rPr>
          <w:rFonts w:eastAsia="Arial"/>
        </w:rPr>
      </w:pPr>
      <w:r w:rsidRPr="00A250E2">
        <w:lastRenderedPageBreak/>
        <w:t xml:space="preserve">report to, and advise, the </w:t>
      </w:r>
      <w:r w:rsidRPr="00504D0B">
        <w:t xml:space="preserve">Minister </w:t>
      </w:r>
      <w:r w:rsidRPr="00A250E2">
        <w:t>about issues relating to the abovementioned</w:t>
      </w:r>
      <w:r w:rsidRPr="00A250E2">
        <w:rPr>
          <w:spacing w:val="-11"/>
        </w:rPr>
        <w:t xml:space="preserve"> </w:t>
      </w:r>
      <w:r w:rsidRPr="00A250E2">
        <w:t>functions.</w:t>
      </w:r>
    </w:p>
    <w:p w14:paraId="24E812AC" w14:textId="77777777" w:rsidR="002246BA" w:rsidRPr="0030175B" w:rsidRDefault="002246BA" w:rsidP="006D0FF1">
      <w:pPr>
        <w:pStyle w:val="Heading3"/>
      </w:pPr>
      <w:r w:rsidRPr="0030175B">
        <w:t>Queensland Government objectives</w:t>
      </w:r>
    </w:p>
    <w:p w14:paraId="762121A1" w14:textId="77777777" w:rsidR="00F70BC0" w:rsidRPr="009244FC" w:rsidRDefault="00F70BC0" w:rsidP="00F70BC0">
      <w:pPr>
        <w:spacing w:line="252" w:lineRule="exact"/>
        <w:ind w:left="-142"/>
      </w:pPr>
      <w:r w:rsidRPr="009244FC">
        <w:t>The Queensland Government works closely with all Queenslanders to deliver its objectives for</w:t>
      </w:r>
      <w:r w:rsidRPr="009244FC">
        <w:rPr>
          <w:spacing w:val="-33"/>
        </w:rPr>
        <w:t xml:space="preserve"> </w:t>
      </w:r>
      <w:r w:rsidRPr="009244FC">
        <w:t xml:space="preserve">the community. </w:t>
      </w:r>
      <w:r w:rsidRPr="005B3D22">
        <w:t>Integrity, accountability and consultation underpin everything the Queensland Government does.</w:t>
      </w:r>
    </w:p>
    <w:p w14:paraId="701412D3" w14:textId="77777777" w:rsidR="00AE0D35" w:rsidRDefault="00AE0D35" w:rsidP="006D0FF1">
      <w:pPr>
        <w:pStyle w:val="Heading3"/>
      </w:pPr>
      <w:r w:rsidRPr="00BB4CEB">
        <w:t xml:space="preserve">Our </w:t>
      </w:r>
      <w:r w:rsidR="0041461C">
        <w:t xml:space="preserve">strategic </w:t>
      </w:r>
      <w:r w:rsidRPr="00BB4CEB">
        <w:t>objectives</w:t>
      </w:r>
    </w:p>
    <w:p w14:paraId="4D2313E0" w14:textId="77777777" w:rsidR="0056360A" w:rsidRDefault="0028641C" w:rsidP="0056360A">
      <w:pPr>
        <w:spacing w:line="252" w:lineRule="exact"/>
        <w:ind w:left="-142"/>
        <w:rPr>
          <w:rFonts w:eastAsia="Cambria"/>
        </w:rPr>
      </w:pPr>
      <w:r>
        <w:rPr>
          <w:rFonts w:eastAsia="Cambria"/>
        </w:rPr>
        <w:t xml:space="preserve">The Office’s </w:t>
      </w:r>
      <w:r w:rsidR="0056360A" w:rsidRPr="00650BD9">
        <w:rPr>
          <w:rFonts w:eastAsia="Cambria"/>
        </w:rPr>
        <w:t>strategic objectives, as out</w:t>
      </w:r>
      <w:r w:rsidR="0056360A">
        <w:rPr>
          <w:rFonts w:eastAsia="Cambria"/>
        </w:rPr>
        <w:t xml:space="preserve">lined in the </w:t>
      </w:r>
      <w:r w:rsidR="0056360A" w:rsidRPr="00BF45EB">
        <w:rPr>
          <w:rFonts w:eastAsia="Cambria"/>
          <w:i/>
        </w:rPr>
        <w:t>Strategic Plan 201</w:t>
      </w:r>
      <w:r w:rsidRPr="00BF45EB">
        <w:rPr>
          <w:rFonts w:eastAsia="Cambria"/>
          <w:i/>
        </w:rPr>
        <w:t>7</w:t>
      </w:r>
      <w:r w:rsidR="0056360A" w:rsidRPr="00BF45EB">
        <w:rPr>
          <w:rFonts w:eastAsia="Cambria"/>
          <w:i/>
        </w:rPr>
        <w:t>-202</w:t>
      </w:r>
      <w:r w:rsidRPr="00BF45EB">
        <w:rPr>
          <w:rFonts w:eastAsia="Cambria"/>
          <w:i/>
        </w:rPr>
        <w:t>1</w:t>
      </w:r>
      <w:r w:rsidR="0056360A" w:rsidRPr="00650BD9">
        <w:rPr>
          <w:rFonts w:eastAsia="Cambria"/>
        </w:rPr>
        <w:t>, support the Queensland Government’s objectives for the community of building safe, caring and connected communities and delivering quality frontline services.</w:t>
      </w:r>
    </w:p>
    <w:tbl>
      <w:tblPr>
        <w:tblStyle w:val="PlainTable21"/>
        <w:tblW w:w="10142" w:type="dxa"/>
        <w:tblInd w:w="-157" w:type="dxa"/>
        <w:tblLayout w:type="fixed"/>
        <w:tblLook w:val="04A0" w:firstRow="1" w:lastRow="0" w:firstColumn="1" w:lastColumn="0" w:noHBand="0" w:noVBand="1"/>
      </w:tblPr>
      <w:tblGrid>
        <w:gridCol w:w="414"/>
        <w:gridCol w:w="2988"/>
        <w:gridCol w:w="6740"/>
      </w:tblGrid>
      <w:tr w:rsidR="0056360A" w:rsidRPr="00650BD9" w14:paraId="1317D0FF" w14:textId="77777777" w:rsidTr="008A1483">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3402" w:type="dxa"/>
            <w:gridSpan w:val="2"/>
            <w:tcBorders>
              <w:top w:val="single" w:sz="12" w:space="0" w:color="8A002E"/>
              <w:left w:val="single" w:sz="12" w:space="0" w:color="8A002E"/>
              <w:bottom w:val="nil"/>
            </w:tcBorders>
            <w:shd w:val="clear" w:color="auto" w:fill="AB054C"/>
          </w:tcPr>
          <w:p w14:paraId="55BE4F84" w14:textId="77777777" w:rsidR="0056360A" w:rsidRPr="00650BD9" w:rsidRDefault="0056360A" w:rsidP="008A1483">
            <w:pPr>
              <w:widowControl w:val="0"/>
              <w:spacing w:after="120"/>
              <w:ind w:right="612"/>
              <w:contextualSpacing/>
              <w:rPr>
                <w:rFonts w:eastAsia="Cambria"/>
                <w:color w:val="FFFFFF"/>
                <w:sz w:val="24"/>
              </w:rPr>
            </w:pPr>
            <w:r w:rsidRPr="00650BD9">
              <w:rPr>
                <w:rFonts w:eastAsia="Cambria"/>
                <w:color w:val="FFFFFF"/>
                <w:sz w:val="24"/>
              </w:rPr>
              <w:t xml:space="preserve">Objective </w:t>
            </w:r>
          </w:p>
        </w:tc>
        <w:tc>
          <w:tcPr>
            <w:tcW w:w="6740" w:type="dxa"/>
            <w:tcBorders>
              <w:top w:val="single" w:sz="12" w:space="0" w:color="8A002E"/>
              <w:bottom w:val="nil"/>
              <w:right w:val="single" w:sz="12" w:space="0" w:color="8A002E"/>
            </w:tcBorders>
            <w:shd w:val="clear" w:color="auto" w:fill="AB054C"/>
          </w:tcPr>
          <w:p w14:paraId="00FD5E50" w14:textId="77777777" w:rsidR="0056360A" w:rsidRPr="00650BD9" w:rsidRDefault="0056360A" w:rsidP="008A1483">
            <w:pPr>
              <w:widowControl w:val="0"/>
              <w:spacing w:after="120"/>
              <w:ind w:right="612"/>
              <w:contextualSpacing/>
              <w:cnfStyle w:val="100000000000" w:firstRow="1" w:lastRow="0" w:firstColumn="0" w:lastColumn="0" w:oddVBand="0" w:evenVBand="0" w:oddHBand="0" w:evenHBand="0" w:firstRowFirstColumn="0" w:firstRowLastColumn="0" w:lastRowFirstColumn="0" w:lastRowLastColumn="0"/>
              <w:rPr>
                <w:rFonts w:eastAsia="Cambria"/>
                <w:color w:val="FFFFFF"/>
                <w:sz w:val="24"/>
              </w:rPr>
            </w:pPr>
            <w:r w:rsidRPr="00650BD9">
              <w:rPr>
                <w:rFonts w:eastAsia="Cambria"/>
                <w:color w:val="FFFFFF"/>
                <w:sz w:val="24"/>
              </w:rPr>
              <w:t>Strategies</w:t>
            </w:r>
          </w:p>
        </w:tc>
      </w:tr>
      <w:tr w:rsidR="0056360A" w:rsidRPr="00650BD9" w14:paraId="41BBF91F" w14:textId="77777777" w:rsidTr="008A1483">
        <w:trPr>
          <w:cnfStyle w:val="000000100000" w:firstRow="0" w:lastRow="0" w:firstColumn="0" w:lastColumn="0" w:oddVBand="0" w:evenVBand="0" w:oddHBand="1" w:evenHBand="0" w:firstRowFirstColumn="0" w:firstRowLastColumn="0" w:lastRowFirstColumn="0" w:lastRowLastColumn="0"/>
          <w:trHeight w:val="1911"/>
        </w:trPr>
        <w:tc>
          <w:tcPr>
            <w:cnfStyle w:val="001000000000" w:firstRow="0" w:lastRow="0" w:firstColumn="1" w:lastColumn="0" w:oddVBand="0" w:evenVBand="0" w:oddHBand="0" w:evenHBand="0" w:firstRowFirstColumn="0" w:firstRowLastColumn="0" w:lastRowFirstColumn="0" w:lastRowLastColumn="0"/>
            <w:tcW w:w="414" w:type="dxa"/>
            <w:tcBorders>
              <w:top w:val="nil"/>
              <w:bottom w:val="single" w:sz="12" w:space="0" w:color="AB054C"/>
              <w:right w:val="nil"/>
            </w:tcBorders>
          </w:tcPr>
          <w:p w14:paraId="13B98761" w14:textId="77777777" w:rsidR="0056360A" w:rsidRDefault="0056360A" w:rsidP="008A1483">
            <w:pPr>
              <w:widowControl w:val="0"/>
              <w:spacing w:after="120"/>
              <w:contextualSpacing/>
              <w:rPr>
                <w:rFonts w:eastAsia="Cambria"/>
              </w:rPr>
            </w:pPr>
          </w:p>
          <w:p w14:paraId="4F8B50D1" w14:textId="77777777" w:rsidR="0056360A" w:rsidRDefault="0056360A" w:rsidP="008A1483">
            <w:pPr>
              <w:widowControl w:val="0"/>
              <w:spacing w:after="120"/>
              <w:contextualSpacing/>
              <w:rPr>
                <w:rFonts w:eastAsia="Cambria"/>
              </w:rPr>
            </w:pPr>
            <w:r w:rsidRPr="00650BD9">
              <w:rPr>
                <w:rFonts w:eastAsia="Cambria"/>
              </w:rPr>
              <w:t>1</w:t>
            </w:r>
          </w:p>
          <w:p w14:paraId="2EA84971" w14:textId="77777777" w:rsidR="0056360A" w:rsidRPr="00650BD9" w:rsidRDefault="0056360A" w:rsidP="008A1483">
            <w:pPr>
              <w:widowControl w:val="0"/>
              <w:spacing w:after="120"/>
              <w:contextualSpacing/>
              <w:rPr>
                <w:rFonts w:eastAsia="Cambria"/>
              </w:rPr>
            </w:pPr>
          </w:p>
        </w:tc>
        <w:tc>
          <w:tcPr>
            <w:tcW w:w="2988" w:type="dxa"/>
            <w:tcBorders>
              <w:top w:val="nil"/>
              <w:bottom w:val="single" w:sz="12" w:space="0" w:color="AB054C"/>
              <w:right w:val="nil"/>
            </w:tcBorders>
          </w:tcPr>
          <w:p w14:paraId="0916383D" w14:textId="77777777" w:rsidR="0056360A" w:rsidRPr="00EB4B72" w:rsidRDefault="0028641C" w:rsidP="008A1483">
            <w:pPr>
              <w:widowControl w:val="0"/>
              <w:spacing w:before="240" w:after="120"/>
              <w:cnfStyle w:val="000000100000" w:firstRow="0" w:lastRow="0" w:firstColumn="0" w:lastColumn="0" w:oddVBand="0" w:evenVBand="0" w:oddHBand="1" w:evenHBand="0" w:firstRowFirstColumn="0" w:firstRowLastColumn="0" w:lastRowFirstColumn="0" w:lastRowLastColumn="0"/>
              <w:rPr>
                <w:rFonts w:eastAsia="Cambria"/>
                <w:i/>
              </w:rPr>
            </w:pPr>
            <w:r>
              <w:rPr>
                <w:rFonts w:eastAsia="Cambria"/>
                <w:i/>
              </w:rPr>
              <w:t xml:space="preserve">Independent assurance and advice to Government, stakeholders and the community enhances strategic direction, accountability and outcomes in Queensland’s </w:t>
            </w:r>
            <w:r w:rsidR="0056360A">
              <w:rPr>
                <w:rFonts w:eastAsia="Cambria"/>
                <w:i/>
              </w:rPr>
              <w:t>emergency management arrangements</w:t>
            </w:r>
          </w:p>
        </w:tc>
        <w:tc>
          <w:tcPr>
            <w:tcW w:w="6740" w:type="dxa"/>
            <w:tcBorders>
              <w:top w:val="nil"/>
              <w:left w:val="nil"/>
              <w:bottom w:val="single" w:sz="12" w:space="0" w:color="AB054C"/>
            </w:tcBorders>
          </w:tcPr>
          <w:p w14:paraId="34783AE0" w14:textId="77777777" w:rsidR="0056360A" w:rsidRPr="00650BD9" w:rsidRDefault="0028641C" w:rsidP="0017125F">
            <w:pPr>
              <w:widowControl w:val="0"/>
              <w:numPr>
                <w:ilvl w:val="0"/>
                <w:numId w:val="9"/>
              </w:numPr>
              <w:tabs>
                <w:tab w:val="left" w:pos="1107"/>
              </w:tabs>
              <w:spacing w:before="240"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Promote a coordinated strategic direction for emergency management in Queensland</w:t>
            </w:r>
          </w:p>
          <w:p w14:paraId="03777E7E" w14:textId="77777777" w:rsidR="0056360A" w:rsidRDefault="0028641C" w:rsidP="0017125F">
            <w:pPr>
              <w:widowControl w:val="0"/>
              <w:numPr>
                <w:ilvl w:val="0"/>
                <w:numId w:val="9"/>
              </w:numPr>
              <w:tabs>
                <w:tab w:val="left" w:pos="1107"/>
              </w:tabs>
              <w:spacing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Undertake targeted reviews and system analysis that identify risks and prioritise improvements on the basis of community outcomes</w:t>
            </w:r>
          </w:p>
          <w:p w14:paraId="1A3C5675" w14:textId="77777777" w:rsidR="0028641C" w:rsidRDefault="0028641C" w:rsidP="0017125F">
            <w:pPr>
              <w:widowControl w:val="0"/>
              <w:numPr>
                <w:ilvl w:val="0"/>
                <w:numId w:val="9"/>
              </w:numPr>
              <w:tabs>
                <w:tab w:val="left" w:pos="1107"/>
              </w:tabs>
              <w:spacing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Design, apply and embed contemporary assurance frameworks, activities and tools that are valued by stakeholders and enable improved performance, evaluation and reporting</w:t>
            </w:r>
          </w:p>
          <w:p w14:paraId="17CD8034" w14:textId="77777777" w:rsidR="0028641C" w:rsidRPr="00650BD9" w:rsidRDefault="0028641C" w:rsidP="0017125F">
            <w:pPr>
              <w:widowControl w:val="0"/>
              <w:numPr>
                <w:ilvl w:val="0"/>
                <w:numId w:val="9"/>
              </w:numPr>
              <w:tabs>
                <w:tab w:val="left" w:pos="1107"/>
              </w:tabs>
              <w:spacing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 xml:space="preserve">Provide system oversight and assurance that enables key stakeholders to deliver their responsibilities and achieve performance outcomes across emergency management  </w:t>
            </w:r>
          </w:p>
        </w:tc>
      </w:tr>
      <w:tr w:rsidR="0056360A" w:rsidRPr="00650BD9" w14:paraId="3A616F5F" w14:textId="77777777" w:rsidTr="008A1483">
        <w:tc>
          <w:tcPr>
            <w:cnfStyle w:val="001000000000" w:firstRow="0" w:lastRow="0" w:firstColumn="1" w:lastColumn="0" w:oddVBand="0" w:evenVBand="0" w:oddHBand="0" w:evenHBand="0" w:firstRowFirstColumn="0" w:firstRowLastColumn="0" w:lastRowFirstColumn="0" w:lastRowLastColumn="0"/>
            <w:tcW w:w="414" w:type="dxa"/>
            <w:tcBorders>
              <w:top w:val="single" w:sz="12" w:space="0" w:color="AB054C"/>
              <w:bottom w:val="single" w:sz="12" w:space="0" w:color="AB054C"/>
            </w:tcBorders>
          </w:tcPr>
          <w:p w14:paraId="6350F6DF" w14:textId="77777777" w:rsidR="0056360A" w:rsidRDefault="0056360A" w:rsidP="008A1483">
            <w:pPr>
              <w:widowControl w:val="0"/>
              <w:spacing w:after="120"/>
              <w:contextualSpacing/>
              <w:rPr>
                <w:rFonts w:eastAsia="Cambria"/>
              </w:rPr>
            </w:pPr>
          </w:p>
          <w:p w14:paraId="341BB655" w14:textId="77777777" w:rsidR="0056360A" w:rsidRPr="00650BD9" w:rsidRDefault="0056360A" w:rsidP="008A1483">
            <w:pPr>
              <w:widowControl w:val="0"/>
              <w:spacing w:after="120"/>
              <w:contextualSpacing/>
              <w:rPr>
                <w:rFonts w:eastAsia="Cambria"/>
              </w:rPr>
            </w:pPr>
            <w:r w:rsidRPr="00650BD9">
              <w:rPr>
                <w:rFonts w:eastAsia="Cambria"/>
              </w:rPr>
              <w:t>2</w:t>
            </w:r>
          </w:p>
        </w:tc>
        <w:tc>
          <w:tcPr>
            <w:tcW w:w="2988" w:type="dxa"/>
            <w:tcBorders>
              <w:top w:val="single" w:sz="12" w:space="0" w:color="AB054C"/>
              <w:bottom w:val="single" w:sz="12" w:space="0" w:color="AB054C"/>
            </w:tcBorders>
          </w:tcPr>
          <w:p w14:paraId="262EB53F" w14:textId="77777777" w:rsidR="0056360A" w:rsidRDefault="0056360A" w:rsidP="008A1483">
            <w:pPr>
              <w:widowControl w:val="0"/>
              <w:spacing w:after="120"/>
              <w:ind w:right="34"/>
              <w:contextualSpacing/>
              <w:cnfStyle w:val="000000000000" w:firstRow="0" w:lastRow="0" w:firstColumn="0" w:lastColumn="0" w:oddVBand="0" w:evenVBand="0" w:oddHBand="0" w:evenHBand="0" w:firstRowFirstColumn="0" w:firstRowLastColumn="0" w:lastRowFirstColumn="0" w:lastRowLastColumn="0"/>
              <w:rPr>
                <w:rFonts w:eastAsia="Cambria"/>
                <w:i/>
              </w:rPr>
            </w:pPr>
          </w:p>
          <w:p w14:paraId="68EBE79C" w14:textId="77777777" w:rsidR="0056360A" w:rsidRPr="00650BD9" w:rsidRDefault="0028641C" w:rsidP="008A1483">
            <w:pPr>
              <w:widowControl w:val="0"/>
              <w:spacing w:after="120"/>
              <w:ind w:right="34"/>
              <w:contextualSpacing/>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i/>
              </w:rPr>
              <w:t>A culture of excellence and innovation that challenges the emergency management sector to adapt to and explore emerging opportunities</w:t>
            </w:r>
          </w:p>
        </w:tc>
        <w:tc>
          <w:tcPr>
            <w:tcW w:w="6740" w:type="dxa"/>
            <w:tcBorders>
              <w:top w:val="single" w:sz="12" w:space="0" w:color="AB054C"/>
              <w:bottom w:val="single" w:sz="12" w:space="0" w:color="AB054C"/>
            </w:tcBorders>
          </w:tcPr>
          <w:p w14:paraId="3D212E94" w14:textId="77777777" w:rsidR="0056360A" w:rsidRPr="00650BD9" w:rsidRDefault="0028641C" w:rsidP="0017125F">
            <w:pPr>
              <w:widowControl w:val="0"/>
              <w:numPr>
                <w:ilvl w:val="0"/>
                <w:numId w:val="9"/>
              </w:numPr>
              <w:tabs>
                <w:tab w:val="left" w:pos="1107"/>
              </w:tabs>
              <w:spacing w:before="240" w:after="120"/>
              <w:ind w:left="357" w:hanging="357"/>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rPr>
              <w:t>Seek and harness trusted partnerships that promote collaboration, community-centric engagement, leadership and resilience</w:t>
            </w:r>
          </w:p>
          <w:p w14:paraId="3D04B49D" w14:textId="77777777" w:rsidR="0028641C" w:rsidRDefault="0028641C" w:rsidP="0017125F">
            <w:pPr>
              <w:widowControl w:val="0"/>
              <w:numPr>
                <w:ilvl w:val="0"/>
                <w:numId w:val="9"/>
              </w:numPr>
              <w:tabs>
                <w:tab w:val="left" w:pos="1107"/>
              </w:tabs>
              <w:spacing w:after="120"/>
              <w:ind w:left="357" w:hanging="357"/>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rPr>
              <w:t>Connect and engage with key stakeholders and partners through flexible and transparent platforms, systems and processes that enable interoperability, open communication and good governance</w:t>
            </w:r>
          </w:p>
          <w:p w14:paraId="7891C47F" w14:textId="77777777" w:rsidR="009433D0" w:rsidRDefault="009433D0" w:rsidP="0017125F">
            <w:pPr>
              <w:widowControl w:val="0"/>
              <w:numPr>
                <w:ilvl w:val="0"/>
                <w:numId w:val="9"/>
              </w:numPr>
              <w:tabs>
                <w:tab w:val="left" w:pos="1107"/>
              </w:tabs>
              <w:spacing w:after="120"/>
              <w:ind w:left="357" w:hanging="357"/>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rPr>
              <w:t xml:space="preserve">Leverage contemporary research and analysis to inform evidence-based policy, practice and advice across all phases of emergency management </w:t>
            </w:r>
          </w:p>
          <w:p w14:paraId="0B2C37B2" w14:textId="77777777" w:rsidR="0056360A" w:rsidRPr="00650BD9" w:rsidRDefault="009433D0" w:rsidP="0017125F">
            <w:pPr>
              <w:widowControl w:val="0"/>
              <w:numPr>
                <w:ilvl w:val="0"/>
                <w:numId w:val="9"/>
              </w:numPr>
              <w:tabs>
                <w:tab w:val="left" w:pos="1107"/>
              </w:tabs>
              <w:spacing w:after="120"/>
              <w:ind w:left="357" w:hanging="357"/>
              <w:cnfStyle w:val="000000000000" w:firstRow="0" w:lastRow="0" w:firstColumn="0" w:lastColumn="0" w:oddVBand="0" w:evenVBand="0" w:oddHBand="0" w:evenHBand="0" w:firstRowFirstColumn="0" w:firstRowLastColumn="0" w:lastRowFirstColumn="0" w:lastRowLastColumn="0"/>
              <w:rPr>
                <w:rFonts w:eastAsia="Cambria"/>
              </w:rPr>
            </w:pPr>
            <w:r>
              <w:rPr>
                <w:rFonts w:eastAsia="Cambria"/>
              </w:rPr>
              <w:t xml:space="preserve">Provide clear and timely information and advice that builds capability and empowers key stakeholders to effectively meet their emergency management accountabilities </w:t>
            </w:r>
          </w:p>
        </w:tc>
      </w:tr>
      <w:tr w:rsidR="0056360A" w:rsidRPr="00650BD9" w14:paraId="1922DD9E" w14:textId="77777777" w:rsidTr="008A14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 w:type="dxa"/>
            <w:tcBorders>
              <w:top w:val="single" w:sz="12" w:space="0" w:color="AB054C"/>
              <w:bottom w:val="single" w:sz="12" w:space="0" w:color="AB054C"/>
            </w:tcBorders>
          </w:tcPr>
          <w:p w14:paraId="46FA62D5" w14:textId="77777777" w:rsidR="0056360A" w:rsidRDefault="0056360A" w:rsidP="008A1483">
            <w:pPr>
              <w:widowControl w:val="0"/>
              <w:spacing w:after="120"/>
              <w:contextualSpacing/>
              <w:rPr>
                <w:rFonts w:eastAsia="Cambria"/>
              </w:rPr>
            </w:pPr>
          </w:p>
          <w:p w14:paraId="0EAE5E9F" w14:textId="77777777" w:rsidR="0056360A" w:rsidRPr="00650BD9" w:rsidRDefault="0056360A" w:rsidP="008A1483">
            <w:pPr>
              <w:widowControl w:val="0"/>
              <w:spacing w:after="120"/>
              <w:contextualSpacing/>
              <w:rPr>
                <w:rFonts w:eastAsia="Cambria"/>
              </w:rPr>
            </w:pPr>
            <w:r w:rsidRPr="00650BD9">
              <w:rPr>
                <w:rFonts w:eastAsia="Cambria"/>
              </w:rPr>
              <w:t>3</w:t>
            </w:r>
          </w:p>
        </w:tc>
        <w:tc>
          <w:tcPr>
            <w:tcW w:w="2988" w:type="dxa"/>
            <w:tcBorders>
              <w:top w:val="single" w:sz="12" w:space="0" w:color="AB054C"/>
              <w:bottom w:val="single" w:sz="12" w:space="0" w:color="AB054C"/>
            </w:tcBorders>
          </w:tcPr>
          <w:p w14:paraId="5270BA0D" w14:textId="77777777" w:rsidR="0056360A" w:rsidRDefault="0056360A" w:rsidP="008A1483">
            <w:pPr>
              <w:widowControl w:val="0"/>
              <w:spacing w:after="120"/>
              <w:ind w:right="34"/>
              <w:contextualSpacing/>
              <w:cnfStyle w:val="000000100000" w:firstRow="0" w:lastRow="0" w:firstColumn="0" w:lastColumn="0" w:oddVBand="0" w:evenVBand="0" w:oddHBand="1" w:evenHBand="0" w:firstRowFirstColumn="0" w:firstRowLastColumn="0" w:lastRowFirstColumn="0" w:lastRowLastColumn="0"/>
              <w:rPr>
                <w:rFonts w:eastAsia="Cambria"/>
                <w:i/>
              </w:rPr>
            </w:pPr>
          </w:p>
          <w:p w14:paraId="499E58B8" w14:textId="77777777" w:rsidR="0056360A" w:rsidRPr="00650BD9" w:rsidRDefault="0028641C" w:rsidP="008A1483">
            <w:pPr>
              <w:widowControl w:val="0"/>
              <w:spacing w:after="120"/>
              <w:ind w:right="34"/>
              <w:contextualSpacing/>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i/>
              </w:rPr>
              <w:t>Our workforce is diverse, forward-looking, agile and engaged</w:t>
            </w:r>
          </w:p>
        </w:tc>
        <w:tc>
          <w:tcPr>
            <w:tcW w:w="6740" w:type="dxa"/>
            <w:tcBorders>
              <w:top w:val="single" w:sz="12" w:space="0" w:color="AB054C"/>
              <w:bottom w:val="single" w:sz="12" w:space="0" w:color="AB054C"/>
            </w:tcBorders>
          </w:tcPr>
          <w:p w14:paraId="5ABE5612" w14:textId="77777777" w:rsidR="0056360A" w:rsidRPr="00650BD9" w:rsidRDefault="00FA4A0A" w:rsidP="0017125F">
            <w:pPr>
              <w:widowControl w:val="0"/>
              <w:numPr>
                <w:ilvl w:val="0"/>
                <w:numId w:val="12"/>
              </w:numPr>
              <w:tabs>
                <w:tab w:val="left" w:pos="1107"/>
              </w:tabs>
              <w:spacing w:before="240"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Actively champion inclusion and diversity</w:t>
            </w:r>
          </w:p>
          <w:p w14:paraId="52F8D877" w14:textId="77777777" w:rsidR="0056360A" w:rsidRPr="00650BD9" w:rsidRDefault="00FA4A0A" w:rsidP="0017125F">
            <w:pPr>
              <w:widowControl w:val="0"/>
              <w:numPr>
                <w:ilvl w:val="0"/>
                <w:numId w:val="12"/>
              </w:numPr>
              <w:tabs>
                <w:tab w:val="left" w:pos="1107"/>
              </w:tabs>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Foster a culture of service excellence and high-performance that models our values</w:t>
            </w:r>
          </w:p>
          <w:p w14:paraId="2F952499" w14:textId="77777777" w:rsidR="0056360A" w:rsidRPr="00650BD9" w:rsidRDefault="00FA4A0A" w:rsidP="0017125F">
            <w:pPr>
              <w:widowControl w:val="0"/>
              <w:numPr>
                <w:ilvl w:val="0"/>
                <w:numId w:val="12"/>
              </w:numPr>
              <w:tabs>
                <w:tab w:val="left" w:pos="1107"/>
              </w:tabs>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 xml:space="preserve">Strengthen our workforce capability, knowledge management, information sharing and use of common language </w:t>
            </w:r>
          </w:p>
          <w:p w14:paraId="07A9D37B" w14:textId="77777777" w:rsidR="0056360A" w:rsidRPr="00650BD9" w:rsidRDefault="00FA4A0A" w:rsidP="0017125F">
            <w:pPr>
              <w:widowControl w:val="0"/>
              <w:numPr>
                <w:ilvl w:val="0"/>
                <w:numId w:val="12"/>
              </w:numPr>
              <w:tabs>
                <w:tab w:val="left" w:pos="1107"/>
              </w:tabs>
              <w:spacing w:after="120"/>
              <w:ind w:left="357" w:hanging="357"/>
              <w:cnfStyle w:val="000000100000" w:firstRow="0" w:lastRow="0" w:firstColumn="0" w:lastColumn="0" w:oddVBand="0" w:evenVBand="0" w:oddHBand="1" w:evenHBand="0" w:firstRowFirstColumn="0" w:firstRowLastColumn="0" w:lastRowFirstColumn="0" w:lastRowLastColumn="0"/>
              <w:rPr>
                <w:rFonts w:eastAsia="Cambria"/>
              </w:rPr>
            </w:pPr>
            <w:r>
              <w:rPr>
                <w:rFonts w:eastAsia="Cambria"/>
              </w:rPr>
              <w:t xml:space="preserve">Leverage opportunities to create and apply leading practice, collaborative and mutually supportive service delivery models </w:t>
            </w:r>
            <w:r w:rsidR="0056360A">
              <w:rPr>
                <w:rFonts w:eastAsia="Cambria"/>
              </w:rPr>
              <w:t xml:space="preserve"> </w:t>
            </w:r>
          </w:p>
        </w:tc>
      </w:tr>
    </w:tbl>
    <w:p w14:paraId="699CB842" w14:textId="77777777" w:rsidR="002246BA" w:rsidRPr="0030175B" w:rsidRDefault="002246BA" w:rsidP="006D0FF1">
      <w:pPr>
        <w:pStyle w:val="Heading3"/>
      </w:pPr>
      <w:r w:rsidRPr="0030175B">
        <w:lastRenderedPageBreak/>
        <w:t xml:space="preserve">Our values </w:t>
      </w:r>
    </w:p>
    <w:p w14:paraId="3C55AF38" w14:textId="77777777" w:rsidR="00F70BC0" w:rsidRPr="00A250E2" w:rsidRDefault="0047545C" w:rsidP="00F70BC0">
      <w:pPr>
        <w:pStyle w:val="BodyText"/>
        <w:ind w:left="-142"/>
      </w:pPr>
      <w:r>
        <w:t xml:space="preserve">The Office’s </w:t>
      </w:r>
      <w:r w:rsidR="00F70BC0">
        <w:t xml:space="preserve">values </w:t>
      </w:r>
      <w:r w:rsidR="00F70BC0" w:rsidRPr="00A250E2">
        <w:t>align with the Queensland Public Service values.</w:t>
      </w:r>
    </w:p>
    <w:tbl>
      <w:tblPr>
        <w:tblStyle w:val="TableGrid10"/>
        <w:tblW w:w="10234"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19"/>
        <w:gridCol w:w="8615"/>
      </w:tblGrid>
      <w:tr w:rsidR="00F70BC0" w:rsidRPr="00654152" w14:paraId="7D72F37B" w14:textId="77777777" w:rsidTr="008A1483">
        <w:tc>
          <w:tcPr>
            <w:tcW w:w="1619" w:type="dxa"/>
          </w:tcPr>
          <w:p w14:paraId="3E2FB8C2" w14:textId="77777777" w:rsidR="00F70BC0" w:rsidRPr="00654152" w:rsidRDefault="00F70BC0" w:rsidP="008A1483">
            <w:pPr>
              <w:spacing w:before="194"/>
              <w:ind w:right="996"/>
              <w:jc w:val="center"/>
              <w:outlineLvl w:val="8"/>
              <w:rPr>
                <w:rFonts w:eastAsia="Arial"/>
                <w:b/>
                <w:bCs/>
                <w:highlight w:val="green"/>
              </w:rPr>
            </w:pPr>
            <w:r w:rsidRPr="00654152">
              <w:rPr>
                <w:rFonts w:eastAsia="Arial"/>
                <w:b/>
                <w:bCs/>
                <w:noProof/>
                <w:position w:val="-24"/>
                <w:sz w:val="20"/>
                <w:lang w:eastAsia="en-AU"/>
              </w:rPr>
              <w:drawing>
                <wp:inline distT="0" distB="0" distL="0" distR="0" wp14:anchorId="7041A4E4" wp14:editId="215FAC73">
                  <wp:extent cx="779525" cy="779526"/>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3.jpeg"/>
                          <pic:cNvPicPr/>
                        </pic:nvPicPr>
                        <pic:blipFill>
                          <a:blip r:embed="rId38" cstate="print"/>
                          <a:stretch>
                            <a:fillRect/>
                          </a:stretch>
                        </pic:blipFill>
                        <pic:spPr>
                          <a:xfrm>
                            <a:off x="0" y="0"/>
                            <a:ext cx="779525" cy="779526"/>
                          </a:xfrm>
                          <a:prstGeom prst="rect">
                            <a:avLst/>
                          </a:prstGeom>
                        </pic:spPr>
                      </pic:pic>
                    </a:graphicData>
                  </a:graphic>
                </wp:inline>
              </w:drawing>
            </w:r>
          </w:p>
        </w:tc>
        <w:tc>
          <w:tcPr>
            <w:tcW w:w="8615" w:type="dxa"/>
          </w:tcPr>
          <w:p w14:paraId="47CFB3E8" w14:textId="77777777" w:rsidR="00F70BC0" w:rsidRPr="00654152" w:rsidRDefault="00F70BC0" w:rsidP="008A1483">
            <w:pPr>
              <w:ind w:right="996"/>
              <w:outlineLvl w:val="8"/>
              <w:rPr>
                <w:rFonts w:eastAsia="Arial"/>
                <w:b/>
                <w:bCs/>
              </w:rPr>
            </w:pPr>
          </w:p>
          <w:p w14:paraId="0635A56D" w14:textId="77777777" w:rsidR="00F70BC0" w:rsidRPr="00654152" w:rsidRDefault="00F70BC0" w:rsidP="008A1483">
            <w:pPr>
              <w:ind w:right="996"/>
              <w:outlineLvl w:val="8"/>
              <w:rPr>
                <w:rFonts w:eastAsia="Arial"/>
                <w:b/>
                <w:bCs/>
              </w:rPr>
            </w:pPr>
            <w:r w:rsidRPr="00654152">
              <w:rPr>
                <w:rFonts w:eastAsia="Arial"/>
                <w:b/>
                <w:bCs/>
              </w:rPr>
              <w:t>Customers</w:t>
            </w:r>
            <w:r w:rsidRPr="00654152">
              <w:rPr>
                <w:rFonts w:eastAsia="Arial"/>
                <w:b/>
                <w:bCs/>
                <w:spacing w:val="-5"/>
              </w:rPr>
              <w:t xml:space="preserve"> </w:t>
            </w:r>
            <w:r w:rsidRPr="00654152">
              <w:rPr>
                <w:rFonts w:eastAsia="Arial"/>
                <w:b/>
                <w:bCs/>
              </w:rPr>
              <w:t>first</w:t>
            </w:r>
          </w:p>
          <w:p w14:paraId="5317E76A" w14:textId="77777777" w:rsidR="00F70BC0" w:rsidRPr="00654152" w:rsidRDefault="00F70BC0" w:rsidP="0017125F">
            <w:pPr>
              <w:numPr>
                <w:ilvl w:val="0"/>
                <w:numId w:val="11"/>
              </w:numPr>
              <w:tabs>
                <w:tab w:val="left" w:pos="590"/>
              </w:tabs>
              <w:ind w:right="513"/>
              <w:rPr>
                <w:rFonts w:eastAsia="Arial"/>
              </w:rPr>
            </w:pPr>
            <w:r w:rsidRPr="00654152">
              <w:rPr>
                <w:rFonts w:eastAsia="Calibri" w:hAnsi="Calibri"/>
              </w:rPr>
              <w:t>Know</w:t>
            </w:r>
            <w:r w:rsidRPr="00654152">
              <w:rPr>
                <w:rFonts w:eastAsia="Calibri" w:hAnsi="Calibri"/>
                <w:spacing w:val="-6"/>
              </w:rPr>
              <w:t xml:space="preserve"> </w:t>
            </w:r>
            <w:r w:rsidRPr="00654152">
              <w:rPr>
                <w:rFonts w:eastAsia="Calibri" w:hAnsi="Calibri"/>
              </w:rPr>
              <w:t>your customers</w:t>
            </w:r>
          </w:p>
          <w:p w14:paraId="5715BCC6" w14:textId="77777777" w:rsidR="00F70BC0" w:rsidRPr="00654152" w:rsidRDefault="00F70BC0" w:rsidP="0017125F">
            <w:pPr>
              <w:numPr>
                <w:ilvl w:val="0"/>
                <w:numId w:val="11"/>
              </w:numPr>
              <w:tabs>
                <w:tab w:val="left" w:pos="590"/>
              </w:tabs>
              <w:ind w:right="371"/>
              <w:rPr>
                <w:rFonts w:eastAsia="Arial"/>
              </w:rPr>
            </w:pPr>
            <w:r w:rsidRPr="00654152">
              <w:rPr>
                <w:rFonts w:eastAsia="Calibri" w:hAnsi="Calibri"/>
              </w:rPr>
              <w:t>Deliver</w:t>
            </w:r>
            <w:r w:rsidRPr="00654152">
              <w:rPr>
                <w:rFonts w:eastAsia="Calibri" w:hAnsi="Calibri"/>
                <w:spacing w:val="-5"/>
              </w:rPr>
              <w:t xml:space="preserve"> </w:t>
            </w:r>
            <w:r w:rsidRPr="00654152">
              <w:rPr>
                <w:rFonts w:eastAsia="Calibri" w:hAnsi="Calibri"/>
              </w:rPr>
              <w:t>what matters</w:t>
            </w:r>
          </w:p>
          <w:p w14:paraId="77F7EE03" w14:textId="77777777" w:rsidR="00F70BC0" w:rsidRPr="00654152" w:rsidRDefault="00F70BC0" w:rsidP="0017125F">
            <w:pPr>
              <w:numPr>
                <w:ilvl w:val="0"/>
                <w:numId w:val="11"/>
              </w:numPr>
              <w:tabs>
                <w:tab w:val="left" w:pos="590"/>
              </w:tabs>
              <w:ind w:right="371"/>
              <w:rPr>
                <w:rFonts w:ascii="Calibri" w:eastAsia="Calibri" w:hAnsi="Calibri"/>
              </w:rPr>
            </w:pPr>
            <w:r w:rsidRPr="00654152">
              <w:rPr>
                <w:rFonts w:eastAsia="Calibri" w:hAnsi="Calibri"/>
              </w:rPr>
              <w:t>Make decisions with empathy</w:t>
            </w:r>
          </w:p>
        </w:tc>
      </w:tr>
      <w:tr w:rsidR="00F70BC0" w:rsidRPr="00654152" w14:paraId="66AA5629" w14:textId="77777777" w:rsidTr="008A1483">
        <w:tc>
          <w:tcPr>
            <w:tcW w:w="1619" w:type="dxa"/>
          </w:tcPr>
          <w:p w14:paraId="3DF3A268" w14:textId="77777777" w:rsidR="00F70BC0" w:rsidRPr="00654152" w:rsidRDefault="00F70BC0" w:rsidP="008A1483">
            <w:pPr>
              <w:spacing w:before="194"/>
              <w:ind w:right="996"/>
              <w:outlineLvl w:val="8"/>
              <w:rPr>
                <w:rFonts w:eastAsia="Arial"/>
                <w:b/>
                <w:bCs/>
                <w:highlight w:val="green"/>
              </w:rPr>
            </w:pPr>
            <w:r w:rsidRPr="00654152">
              <w:rPr>
                <w:rFonts w:eastAsia="Arial"/>
                <w:b/>
                <w:bCs/>
                <w:noProof/>
                <w:position w:val="-23"/>
                <w:sz w:val="20"/>
                <w:lang w:eastAsia="en-AU"/>
              </w:rPr>
              <w:drawing>
                <wp:inline distT="0" distB="0" distL="0" distR="0" wp14:anchorId="6E6787B9" wp14:editId="14CEBD25">
                  <wp:extent cx="765047" cy="766952"/>
                  <wp:effectExtent l="0" t="0" r="0" b="0"/>
                  <wp:docPr id="24"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39" cstate="print"/>
                          <a:stretch>
                            <a:fillRect/>
                          </a:stretch>
                        </pic:blipFill>
                        <pic:spPr>
                          <a:xfrm>
                            <a:off x="0" y="0"/>
                            <a:ext cx="765047" cy="766952"/>
                          </a:xfrm>
                          <a:prstGeom prst="rect">
                            <a:avLst/>
                          </a:prstGeom>
                        </pic:spPr>
                      </pic:pic>
                    </a:graphicData>
                  </a:graphic>
                </wp:inline>
              </w:drawing>
            </w:r>
          </w:p>
        </w:tc>
        <w:tc>
          <w:tcPr>
            <w:tcW w:w="8615" w:type="dxa"/>
          </w:tcPr>
          <w:p w14:paraId="46AA38D6" w14:textId="77777777" w:rsidR="00F70BC0" w:rsidRPr="00654152" w:rsidRDefault="00F70BC0" w:rsidP="008A1483">
            <w:pPr>
              <w:ind w:right="996"/>
              <w:outlineLvl w:val="8"/>
              <w:rPr>
                <w:rFonts w:eastAsia="Arial"/>
                <w:b/>
                <w:bCs/>
              </w:rPr>
            </w:pPr>
          </w:p>
          <w:p w14:paraId="0B534768" w14:textId="77777777" w:rsidR="00F70BC0" w:rsidRPr="00654152" w:rsidRDefault="00F70BC0" w:rsidP="008A1483">
            <w:pPr>
              <w:ind w:right="996"/>
              <w:outlineLvl w:val="8"/>
              <w:rPr>
                <w:rFonts w:eastAsia="Arial"/>
                <w:b/>
                <w:bCs/>
              </w:rPr>
            </w:pPr>
            <w:r w:rsidRPr="00654152">
              <w:rPr>
                <w:rFonts w:eastAsia="Arial"/>
                <w:b/>
                <w:bCs/>
              </w:rPr>
              <w:t>Ideas into</w:t>
            </w:r>
            <w:r w:rsidRPr="00654152">
              <w:rPr>
                <w:rFonts w:eastAsia="Arial"/>
                <w:b/>
                <w:bCs/>
                <w:spacing w:val="-4"/>
              </w:rPr>
              <w:t xml:space="preserve"> </w:t>
            </w:r>
            <w:r w:rsidRPr="00654152">
              <w:rPr>
                <w:rFonts w:eastAsia="Arial"/>
                <w:b/>
                <w:bCs/>
              </w:rPr>
              <w:t>action</w:t>
            </w:r>
          </w:p>
          <w:p w14:paraId="14E71635" w14:textId="77777777" w:rsidR="00F70BC0" w:rsidRPr="00654152" w:rsidRDefault="00F70BC0" w:rsidP="0017125F">
            <w:pPr>
              <w:numPr>
                <w:ilvl w:val="0"/>
                <w:numId w:val="11"/>
              </w:numPr>
              <w:tabs>
                <w:tab w:val="left" w:pos="590"/>
              </w:tabs>
              <w:ind w:right="513"/>
              <w:rPr>
                <w:rFonts w:eastAsia="Calibri" w:hAnsi="Calibri"/>
              </w:rPr>
            </w:pPr>
            <w:r w:rsidRPr="00654152">
              <w:rPr>
                <w:rFonts w:eastAsia="Calibri" w:hAnsi="Calibri"/>
              </w:rPr>
              <w:t>Challenge the norm and suggest solutions</w:t>
            </w:r>
          </w:p>
          <w:p w14:paraId="004BB64A" w14:textId="77777777" w:rsidR="00F70BC0" w:rsidRPr="00654152" w:rsidRDefault="00F70BC0" w:rsidP="0017125F">
            <w:pPr>
              <w:numPr>
                <w:ilvl w:val="0"/>
                <w:numId w:val="11"/>
              </w:numPr>
              <w:tabs>
                <w:tab w:val="left" w:pos="590"/>
              </w:tabs>
              <w:ind w:right="513"/>
              <w:rPr>
                <w:rFonts w:eastAsia="Calibri" w:hAnsi="Calibri"/>
              </w:rPr>
            </w:pPr>
            <w:r w:rsidRPr="00654152">
              <w:rPr>
                <w:rFonts w:eastAsia="Calibri" w:hAnsi="Calibri"/>
              </w:rPr>
              <w:t>Encourage and embrace new ideas</w:t>
            </w:r>
          </w:p>
          <w:p w14:paraId="739CEFD9" w14:textId="77777777" w:rsidR="00F70BC0" w:rsidRPr="00654152" w:rsidRDefault="00F70BC0" w:rsidP="0017125F">
            <w:pPr>
              <w:numPr>
                <w:ilvl w:val="0"/>
                <w:numId w:val="11"/>
              </w:numPr>
              <w:tabs>
                <w:tab w:val="left" w:pos="590"/>
              </w:tabs>
              <w:ind w:right="513"/>
              <w:rPr>
                <w:rFonts w:ascii="Calibri" w:eastAsia="Calibri" w:hAnsi="Calibri"/>
              </w:rPr>
            </w:pPr>
            <w:r w:rsidRPr="00654152">
              <w:rPr>
                <w:rFonts w:eastAsia="Calibri" w:hAnsi="Calibri"/>
              </w:rPr>
              <w:t>Work across boundaries</w:t>
            </w:r>
          </w:p>
        </w:tc>
      </w:tr>
      <w:tr w:rsidR="00F70BC0" w:rsidRPr="00654152" w14:paraId="479C67B9" w14:textId="77777777" w:rsidTr="008A1483">
        <w:tc>
          <w:tcPr>
            <w:tcW w:w="1619" w:type="dxa"/>
          </w:tcPr>
          <w:p w14:paraId="2FB85490" w14:textId="77777777" w:rsidR="00F70BC0" w:rsidRPr="00654152" w:rsidRDefault="00F70BC0" w:rsidP="008A1483">
            <w:pPr>
              <w:spacing w:before="194"/>
              <w:ind w:right="996"/>
              <w:outlineLvl w:val="8"/>
              <w:rPr>
                <w:rFonts w:eastAsia="Arial"/>
                <w:b/>
                <w:bCs/>
                <w:highlight w:val="green"/>
              </w:rPr>
            </w:pPr>
            <w:r w:rsidRPr="00654152">
              <w:rPr>
                <w:rFonts w:eastAsia="Arial"/>
                <w:b/>
                <w:bCs/>
                <w:noProof/>
                <w:position w:val="-24"/>
                <w:sz w:val="20"/>
                <w:lang w:eastAsia="en-AU"/>
              </w:rPr>
              <w:drawing>
                <wp:inline distT="0" distB="0" distL="0" distR="0" wp14:anchorId="5A3AEE82" wp14:editId="21DCE8AA">
                  <wp:extent cx="779525" cy="779526"/>
                  <wp:effectExtent l="0" t="0" r="0" b="0"/>
                  <wp:docPr id="26"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jpeg"/>
                          <pic:cNvPicPr/>
                        </pic:nvPicPr>
                        <pic:blipFill>
                          <a:blip r:embed="rId40" cstate="print"/>
                          <a:stretch>
                            <a:fillRect/>
                          </a:stretch>
                        </pic:blipFill>
                        <pic:spPr>
                          <a:xfrm>
                            <a:off x="0" y="0"/>
                            <a:ext cx="779525" cy="779526"/>
                          </a:xfrm>
                          <a:prstGeom prst="rect">
                            <a:avLst/>
                          </a:prstGeom>
                        </pic:spPr>
                      </pic:pic>
                    </a:graphicData>
                  </a:graphic>
                </wp:inline>
              </w:drawing>
            </w:r>
          </w:p>
        </w:tc>
        <w:tc>
          <w:tcPr>
            <w:tcW w:w="8615" w:type="dxa"/>
          </w:tcPr>
          <w:p w14:paraId="4D90E0D8" w14:textId="77777777" w:rsidR="00F70BC0" w:rsidRPr="00654152" w:rsidRDefault="00F70BC0" w:rsidP="008A1483">
            <w:pPr>
              <w:tabs>
                <w:tab w:val="left" w:pos="492"/>
              </w:tabs>
              <w:ind w:right="554"/>
              <w:rPr>
                <w:rFonts w:eastAsia="Calibri" w:hAnsi="Calibri"/>
                <w:b/>
              </w:rPr>
            </w:pPr>
          </w:p>
          <w:p w14:paraId="4A0E91B7" w14:textId="77777777" w:rsidR="00F70BC0" w:rsidRPr="00654152" w:rsidRDefault="00F70BC0" w:rsidP="008A1483">
            <w:pPr>
              <w:tabs>
                <w:tab w:val="left" w:pos="492"/>
              </w:tabs>
              <w:ind w:right="554"/>
              <w:rPr>
                <w:rFonts w:eastAsia="Calibri" w:hAnsi="Calibri"/>
                <w:sz w:val="18"/>
              </w:rPr>
            </w:pPr>
            <w:r w:rsidRPr="00654152">
              <w:rPr>
                <w:rFonts w:eastAsia="Calibri" w:hAnsi="Calibri"/>
                <w:b/>
              </w:rPr>
              <w:t>Unleash</w:t>
            </w:r>
            <w:r w:rsidRPr="00654152">
              <w:rPr>
                <w:rFonts w:eastAsia="Calibri" w:hAnsi="Calibri"/>
                <w:b/>
                <w:spacing w:val="-6"/>
              </w:rPr>
              <w:t xml:space="preserve"> </w:t>
            </w:r>
            <w:r w:rsidRPr="00654152">
              <w:rPr>
                <w:rFonts w:eastAsia="Calibri" w:hAnsi="Calibri"/>
                <w:b/>
              </w:rPr>
              <w:t>potential</w:t>
            </w:r>
            <w:r w:rsidRPr="00654152">
              <w:rPr>
                <w:rFonts w:eastAsia="Calibri" w:hAnsi="Calibri"/>
                <w:sz w:val="18"/>
              </w:rPr>
              <w:t xml:space="preserve"> </w:t>
            </w:r>
          </w:p>
          <w:p w14:paraId="2BF8EBC1" w14:textId="77777777" w:rsidR="00F70BC0" w:rsidRPr="00654152" w:rsidRDefault="00F70BC0" w:rsidP="0017125F">
            <w:pPr>
              <w:numPr>
                <w:ilvl w:val="0"/>
                <w:numId w:val="11"/>
              </w:numPr>
              <w:tabs>
                <w:tab w:val="left" w:pos="590"/>
              </w:tabs>
              <w:ind w:right="513"/>
              <w:rPr>
                <w:rFonts w:eastAsia="Calibri" w:hAnsi="Calibri"/>
              </w:rPr>
            </w:pPr>
            <w:r w:rsidRPr="00654152">
              <w:rPr>
                <w:rFonts w:eastAsia="Calibri" w:hAnsi="Calibri"/>
              </w:rPr>
              <w:t>Expect greatness</w:t>
            </w:r>
          </w:p>
          <w:p w14:paraId="07790F87" w14:textId="77777777" w:rsidR="00F70BC0" w:rsidRPr="00654152" w:rsidRDefault="00F70BC0" w:rsidP="0017125F">
            <w:pPr>
              <w:numPr>
                <w:ilvl w:val="0"/>
                <w:numId w:val="11"/>
              </w:numPr>
              <w:tabs>
                <w:tab w:val="left" w:pos="590"/>
              </w:tabs>
              <w:ind w:right="513"/>
              <w:rPr>
                <w:rFonts w:eastAsia="Calibri" w:hAnsi="Calibri"/>
              </w:rPr>
            </w:pPr>
            <w:r w:rsidRPr="00654152">
              <w:rPr>
                <w:rFonts w:eastAsia="Calibri" w:hAnsi="Calibri"/>
              </w:rPr>
              <w:t>Lead and set clear expectations</w:t>
            </w:r>
          </w:p>
          <w:p w14:paraId="4A555B4D" w14:textId="77777777" w:rsidR="00F70BC0" w:rsidRPr="00654152" w:rsidRDefault="00F70BC0" w:rsidP="0017125F">
            <w:pPr>
              <w:numPr>
                <w:ilvl w:val="0"/>
                <w:numId w:val="11"/>
              </w:numPr>
              <w:tabs>
                <w:tab w:val="left" w:pos="590"/>
              </w:tabs>
              <w:ind w:right="513"/>
              <w:rPr>
                <w:rFonts w:ascii="Calibri" w:eastAsia="Calibri" w:hAnsi="Calibri"/>
                <w:b/>
              </w:rPr>
            </w:pPr>
            <w:r w:rsidRPr="00654152">
              <w:rPr>
                <w:rFonts w:eastAsia="Calibri" w:hAnsi="Calibri"/>
              </w:rPr>
              <w:t>Seek, provide and act on feedback</w:t>
            </w:r>
          </w:p>
        </w:tc>
      </w:tr>
      <w:tr w:rsidR="00F70BC0" w:rsidRPr="00654152" w14:paraId="426D199C" w14:textId="77777777" w:rsidTr="008A1483">
        <w:tc>
          <w:tcPr>
            <w:tcW w:w="1619" w:type="dxa"/>
          </w:tcPr>
          <w:p w14:paraId="5643FA60" w14:textId="77777777" w:rsidR="00F70BC0" w:rsidRPr="00654152" w:rsidRDefault="00F70BC0" w:rsidP="008A1483">
            <w:pPr>
              <w:spacing w:before="194"/>
              <w:ind w:right="996"/>
              <w:outlineLvl w:val="8"/>
              <w:rPr>
                <w:rFonts w:eastAsia="Arial"/>
                <w:b/>
                <w:bCs/>
                <w:highlight w:val="green"/>
              </w:rPr>
            </w:pPr>
            <w:r w:rsidRPr="00654152">
              <w:rPr>
                <w:rFonts w:eastAsia="Arial"/>
                <w:b/>
                <w:bCs/>
                <w:noProof/>
                <w:position w:val="-24"/>
                <w:sz w:val="20"/>
                <w:lang w:eastAsia="en-AU"/>
              </w:rPr>
              <w:drawing>
                <wp:inline distT="0" distB="0" distL="0" distR="0" wp14:anchorId="32D689C4" wp14:editId="6B6FED08">
                  <wp:extent cx="779525" cy="779526"/>
                  <wp:effectExtent l="0" t="0" r="0" b="0"/>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41" cstate="print"/>
                          <a:stretch>
                            <a:fillRect/>
                          </a:stretch>
                        </pic:blipFill>
                        <pic:spPr>
                          <a:xfrm>
                            <a:off x="0" y="0"/>
                            <a:ext cx="779525" cy="779526"/>
                          </a:xfrm>
                          <a:prstGeom prst="rect">
                            <a:avLst/>
                          </a:prstGeom>
                        </pic:spPr>
                      </pic:pic>
                    </a:graphicData>
                  </a:graphic>
                </wp:inline>
              </w:drawing>
            </w:r>
          </w:p>
        </w:tc>
        <w:tc>
          <w:tcPr>
            <w:tcW w:w="8615" w:type="dxa"/>
          </w:tcPr>
          <w:p w14:paraId="08E90A5F" w14:textId="77777777" w:rsidR="00F70BC0" w:rsidRPr="00654152" w:rsidRDefault="00F70BC0" w:rsidP="008A1483">
            <w:pPr>
              <w:ind w:right="996"/>
              <w:outlineLvl w:val="8"/>
              <w:rPr>
                <w:rFonts w:eastAsia="Arial"/>
                <w:b/>
                <w:bCs/>
              </w:rPr>
            </w:pPr>
          </w:p>
          <w:p w14:paraId="6F3F9BA7" w14:textId="77777777" w:rsidR="00F70BC0" w:rsidRPr="00654152" w:rsidRDefault="00F70BC0" w:rsidP="008A1483">
            <w:pPr>
              <w:ind w:right="996"/>
              <w:outlineLvl w:val="8"/>
              <w:rPr>
                <w:rFonts w:eastAsia="Arial"/>
                <w:b/>
                <w:bCs/>
              </w:rPr>
            </w:pPr>
            <w:r w:rsidRPr="00654152">
              <w:rPr>
                <w:rFonts w:eastAsia="Arial"/>
                <w:b/>
                <w:bCs/>
              </w:rPr>
              <w:t>Be</w:t>
            </w:r>
            <w:r w:rsidRPr="00654152">
              <w:rPr>
                <w:rFonts w:eastAsia="Arial"/>
                <w:b/>
                <w:bCs/>
                <w:spacing w:val="-3"/>
              </w:rPr>
              <w:t xml:space="preserve"> </w:t>
            </w:r>
            <w:r w:rsidRPr="00654152">
              <w:rPr>
                <w:rFonts w:eastAsia="Arial"/>
                <w:b/>
                <w:bCs/>
              </w:rPr>
              <w:t>courageous</w:t>
            </w:r>
          </w:p>
          <w:p w14:paraId="764337E5" w14:textId="77777777" w:rsidR="00F70BC0" w:rsidRPr="00654152" w:rsidRDefault="00F70BC0" w:rsidP="0017125F">
            <w:pPr>
              <w:numPr>
                <w:ilvl w:val="0"/>
                <w:numId w:val="11"/>
              </w:numPr>
              <w:tabs>
                <w:tab w:val="left" w:pos="590"/>
              </w:tabs>
              <w:ind w:right="513"/>
              <w:rPr>
                <w:rFonts w:eastAsia="Calibri" w:hAnsi="Calibri"/>
              </w:rPr>
            </w:pPr>
            <w:r w:rsidRPr="00654152">
              <w:rPr>
                <w:rFonts w:eastAsia="Calibri" w:hAnsi="Calibri"/>
              </w:rPr>
              <w:t>Own your actions, successes and mistakes</w:t>
            </w:r>
          </w:p>
          <w:p w14:paraId="0BC4517E" w14:textId="77777777" w:rsidR="00F70BC0" w:rsidRPr="00654152" w:rsidRDefault="00F70BC0" w:rsidP="0017125F">
            <w:pPr>
              <w:numPr>
                <w:ilvl w:val="0"/>
                <w:numId w:val="11"/>
              </w:numPr>
              <w:tabs>
                <w:tab w:val="left" w:pos="590"/>
              </w:tabs>
              <w:ind w:right="513"/>
              <w:rPr>
                <w:rFonts w:eastAsia="Calibri" w:hAnsi="Calibri"/>
              </w:rPr>
            </w:pPr>
            <w:r w:rsidRPr="00654152">
              <w:rPr>
                <w:rFonts w:eastAsia="Calibri" w:hAnsi="Calibri"/>
              </w:rPr>
              <w:t>Take calculated risks</w:t>
            </w:r>
          </w:p>
          <w:p w14:paraId="057707A6" w14:textId="77777777" w:rsidR="00F70BC0" w:rsidRPr="00654152" w:rsidRDefault="00F70BC0" w:rsidP="0017125F">
            <w:pPr>
              <w:numPr>
                <w:ilvl w:val="0"/>
                <w:numId w:val="11"/>
              </w:numPr>
              <w:tabs>
                <w:tab w:val="left" w:pos="590"/>
              </w:tabs>
              <w:ind w:right="513"/>
              <w:rPr>
                <w:rFonts w:ascii="Calibri" w:eastAsia="Calibri" w:hAnsi="Calibri"/>
              </w:rPr>
            </w:pPr>
            <w:r w:rsidRPr="00654152">
              <w:rPr>
                <w:rFonts w:eastAsia="Calibri" w:hAnsi="Calibri"/>
              </w:rPr>
              <w:t>Act with transparency</w:t>
            </w:r>
          </w:p>
        </w:tc>
      </w:tr>
      <w:tr w:rsidR="00F70BC0" w:rsidRPr="00654152" w14:paraId="2A2CAFFE" w14:textId="77777777" w:rsidTr="008A1483">
        <w:tc>
          <w:tcPr>
            <w:tcW w:w="1619" w:type="dxa"/>
          </w:tcPr>
          <w:p w14:paraId="6E7C5940" w14:textId="77777777" w:rsidR="00F70BC0" w:rsidRPr="00654152" w:rsidRDefault="00F70BC0" w:rsidP="008A1483">
            <w:pPr>
              <w:spacing w:before="194"/>
              <w:ind w:right="996"/>
              <w:outlineLvl w:val="8"/>
              <w:rPr>
                <w:rFonts w:eastAsia="Arial"/>
                <w:b/>
                <w:bCs/>
                <w:highlight w:val="green"/>
              </w:rPr>
            </w:pPr>
            <w:r w:rsidRPr="00654152">
              <w:rPr>
                <w:rFonts w:eastAsia="Arial"/>
                <w:b/>
                <w:bCs/>
                <w:noProof/>
                <w:position w:val="-24"/>
                <w:sz w:val="20"/>
                <w:lang w:eastAsia="en-AU"/>
              </w:rPr>
              <w:drawing>
                <wp:inline distT="0" distB="0" distL="0" distR="0" wp14:anchorId="3FE53B06" wp14:editId="58163D67">
                  <wp:extent cx="778897" cy="779526"/>
                  <wp:effectExtent l="0" t="0" r="0" b="0"/>
                  <wp:docPr id="28"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42" cstate="print"/>
                          <a:stretch>
                            <a:fillRect/>
                          </a:stretch>
                        </pic:blipFill>
                        <pic:spPr>
                          <a:xfrm>
                            <a:off x="0" y="0"/>
                            <a:ext cx="778897" cy="779526"/>
                          </a:xfrm>
                          <a:prstGeom prst="rect">
                            <a:avLst/>
                          </a:prstGeom>
                        </pic:spPr>
                      </pic:pic>
                    </a:graphicData>
                  </a:graphic>
                </wp:inline>
              </w:drawing>
            </w:r>
          </w:p>
        </w:tc>
        <w:tc>
          <w:tcPr>
            <w:tcW w:w="8615" w:type="dxa"/>
          </w:tcPr>
          <w:p w14:paraId="3378D573" w14:textId="77777777" w:rsidR="00F70BC0" w:rsidRPr="00654152" w:rsidRDefault="00F70BC0" w:rsidP="008A1483">
            <w:pPr>
              <w:ind w:right="996"/>
              <w:outlineLvl w:val="8"/>
              <w:rPr>
                <w:rFonts w:eastAsia="Arial"/>
                <w:b/>
                <w:bCs/>
              </w:rPr>
            </w:pPr>
          </w:p>
          <w:p w14:paraId="3DA17784" w14:textId="77777777" w:rsidR="00F70BC0" w:rsidRPr="00654152" w:rsidRDefault="00F70BC0" w:rsidP="008A1483">
            <w:pPr>
              <w:ind w:right="996"/>
              <w:outlineLvl w:val="8"/>
              <w:rPr>
                <w:rFonts w:eastAsia="Arial"/>
                <w:b/>
                <w:bCs/>
              </w:rPr>
            </w:pPr>
            <w:r w:rsidRPr="00654152">
              <w:rPr>
                <w:rFonts w:eastAsia="Arial"/>
                <w:b/>
                <w:bCs/>
              </w:rPr>
              <w:t>Empower</w:t>
            </w:r>
            <w:r w:rsidRPr="00654152">
              <w:rPr>
                <w:rFonts w:eastAsia="Arial"/>
                <w:b/>
                <w:bCs/>
                <w:spacing w:val="-5"/>
              </w:rPr>
              <w:t xml:space="preserve"> </w:t>
            </w:r>
            <w:r w:rsidRPr="00654152">
              <w:rPr>
                <w:rFonts w:eastAsia="Arial"/>
                <w:b/>
                <w:bCs/>
              </w:rPr>
              <w:t>people</w:t>
            </w:r>
          </w:p>
          <w:p w14:paraId="7672DB84" w14:textId="77777777" w:rsidR="00F70BC0" w:rsidRPr="00654152" w:rsidRDefault="00F70BC0" w:rsidP="0017125F">
            <w:pPr>
              <w:numPr>
                <w:ilvl w:val="0"/>
                <w:numId w:val="11"/>
              </w:numPr>
              <w:tabs>
                <w:tab w:val="left" w:pos="590"/>
              </w:tabs>
              <w:ind w:right="513"/>
              <w:rPr>
                <w:rFonts w:eastAsia="Calibri" w:hAnsi="Calibri"/>
              </w:rPr>
            </w:pPr>
            <w:r w:rsidRPr="00654152">
              <w:rPr>
                <w:rFonts w:eastAsia="Calibri" w:hAnsi="Calibri"/>
              </w:rPr>
              <w:t>Lead, empower and trust</w:t>
            </w:r>
          </w:p>
          <w:p w14:paraId="2F5C4B9E" w14:textId="77777777" w:rsidR="00F70BC0" w:rsidRPr="00654152" w:rsidRDefault="00F70BC0" w:rsidP="0017125F">
            <w:pPr>
              <w:numPr>
                <w:ilvl w:val="0"/>
                <w:numId w:val="11"/>
              </w:numPr>
              <w:tabs>
                <w:tab w:val="left" w:pos="590"/>
              </w:tabs>
              <w:ind w:right="513"/>
              <w:rPr>
                <w:rFonts w:eastAsia="Calibri" w:hAnsi="Calibri"/>
              </w:rPr>
            </w:pPr>
            <w:r w:rsidRPr="00654152">
              <w:rPr>
                <w:rFonts w:eastAsia="Calibri" w:hAnsi="Calibri"/>
              </w:rPr>
              <w:t>Play to everyone</w:t>
            </w:r>
            <w:r w:rsidRPr="00654152">
              <w:rPr>
                <w:rFonts w:eastAsia="Calibri" w:hAnsi="Calibri"/>
              </w:rPr>
              <w:t>’</w:t>
            </w:r>
            <w:r w:rsidRPr="00654152">
              <w:rPr>
                <w:rFonts w:eastAsia="Calibri" w:hAnsi="Calibri"/>
              </w:rPr>
              <w:t>s strengths</w:t>
            </w:r>
          </w:p>
          <w:p w14:paraId="02CDBF33" w14:textId="77777777" w:rsidR="00F70BC0" w:rsidRPr="00654152" w:rsidRDefault="00F70BC0" w:rsidP="0017125F">
            <w:pPr>
              <w:numPr>
                <w:ilvl w:val="0"/>
                <w:numId w:val="11"/>
              </w:numPr>
              <w:tabs>
                <w:tab w:val="left" w:pos="590"/>
              </w:tabs>
              <w:ind w:right="513"/>
              <w:rPr>
                <w:rFonts w:ascii="Calibri" w:eastAsia="Calibri" w:hAnsi="Calibri"/>
              </w:rPr>
            </w:pPr>
            <w:r w:rsidRPr="00654152">
              <w:rPr>
                <w:rFonts w:eastAsia="Calibri" w:hAnsi="Calibri"/>
              </w:rPr>
              <w:t>Develop yourself and those around you</w:t>
            </w:r>
          </w:p>
        </w:tc>
      </w:tr>
    </w:tbl>
    <w:p w14:paraId="0F685A0D" w14:textId="77777777" w:rsidR="00F70BC0" w:rsidRPr="00BF4802" w:rsidRDefault="00F70BC0" w:rsidP="006D0FF1">
      <w:pPr>
        <w:pStyle w:val="Heading3"/>
      </w:pPr>
      <w:r w:rsidRPr="00BF4802">
        <w:t>Our environment</w:t>
      </w:r>
    </w:p>
    <w:p w14:paraId="315366BC" w14:textId="77777777" w:rsidR="00F70BC0" w:rsidRDefault="00306E5F" w:rsidP="00F70BC0">
      <w:pPr>
        <w:pStyle w:val="BodyText"/>
        <w:ind w:left="-142"/>
      </w:pPr>
      <w:r>
        <w:t>Globalisation, c</w:t>
      </w:r>
      <w:r w:rsidR="00F70BC0">
        <w:t>limate adaptation, digital disruption, shifting demographics</w:t>
      </w:r>
      <w:r>
        <w:t xml:space="preserve">, cultural diversity and </w:t>
      </w:r>
      <w:r w:rsidR="00F70BC0">
        <w:t xml:space="preserve">community expectations all form part of </w:t>
      </w:r>
      <w:r w:rsidR="00083DAF">
        <w:t>the</w:t>
      </w:r>
      <w:r w:rsidR="00F70BC0">
        <w:t xml:space="preserve"> changing landscape within which emergency management operates in Queensland. </w:t>
      </w:r>
    </w:p>
    <w:p w14:paraId="6799151C" w14:textId="77777777" w:rsidR="00306E5F" w:rsidRDefault="00306E5F" w:rsidP="0007714F">
      <w:pPr>
        <w:pStyle w:val="BodyText"/>
        <w:ind w:left="-142" w:right="614"/>
      </w:pPr>
      <w:r>
        <w:t xml:space="preserve">The complexity of disasters is increasingly influencing how the Queensland emergency management sector adapts to and plans for events. </w:t>
      </w:r>
    </w:p>
    <w:p w14:paraId="76CBB2B4" w14:textId="77777777" w:rsidR="00A929E6" w:rsidRDefault="00306E5F" w:rsidP="0007714F">
      <w:pPr>
        <w:pStyle w:val="BodyText"/>
        <w:ind w:left="-142" w:right="614"/>
      </w:pPr>
      <w:r>
        <w:t xml:space="preserve">Community-centric approaches are emerging that draw on local capability, capacity, leadership and ownership of disaster management in a maturing emergency management system. </w:t>
      </w:r>
      <w:r w:rsidR="008A1483">
        <w:t xml:space="preserve"> To mitigate the effects of disasters and build community resilience in Queensland, our current system is directed toward collaboration and cooperation at local, district, state and national levels supported by scalable, agile, interoperable and cost-efficient approaches to emergency management. </w:t>
      </w:r>
    </w:p>
    <w:p w14:paraId="7F9393EE" w14:textId="77777777" w:rsidR="00306E5F" w:rsidRDefault="00306E5F" w:rsidP="0007714F">
      <w:pPr>
        <w:pStyle w:val="BodyText"/>
        <w:ind w:left="-142" w:right="614"/>
      </w:pPr>
      <w:r>
        <w:t>Further information about how the Off</w:t>
      </w:r>
      <w:r w:rsidR="00B251DF">
        <w:t>ice is responding to these envi</w:t>
      </w:r>
      <w:r>
        <w:t>r</w:t>
      </w:r>
      <w:r w:rsidR="00B251DF">
        <w:t>o</w:t>
      </w:r>
      <w:r>
        <w:t>nmental</w:t>
      </w:r>
      <w:r w:rsidR="00B251DF">
        <w:t xml:space="preserve"> </w:t>
      </w:r>
      <w:r>
        <w:t xml:space="preserve">factors can be found in the </w:t>
      </w:r>
      <w:r w:rsidRPr="00BF45EB">
        <w:t>2017-18 Highlights</w:t>
      </w:r>
      <w:r>
        <w:t xml:space="preserve"> (refer pages </w:t>
      </w:r>
      <w:r w:rsidR="00527E5F" w:rsidRPr="00BF45EB">
        <w:t>14 to 23</w:t>
      </w:r>
      <w:r w:rsidR="00527E5F">
        <w:t>).</w:t>
      </w:r>
    </w:p>
    <w:p w14:paraId="5B9F0B11" w14:textId="77777777" w:rsidR="0041461C" w:rsidRPr="0030175B" w:rsidRDefault="0041461C" w:rsidP="006D0FF1">
      <w:pPr>
        <w:pStyle w:val="Heading3"/>
      </w:pPr>
      <w:r>
        <w:t xml:space="preserve">Our strategic challenges </w:t>
      </w:r>
    </w:p>
    <w:p w14:paraId="7F7883E2" w14:textId="77777777" w:rsidR="00F70BC0" w:rsidRPr="00654152" w:rsidRDefault="00F70BC0" w:rsidP="003B12F9">
      <w:pPr>
        <w:pStyle w:val="BodyText"/>
        <w:ind w:left="-142"/>
      </w:pPr>
      <w:r w:rsidRPr="00654152">
        <w:t xml:space="preserve">The Office </w:t>
      </w:r>
      <w:r w:rsidR="008A1483">
        <w:t>i</w:t>
      </w:r>
      <w:r w:rsidRPr="00654152">
        <w:t xml:space="preserve">dentified the following </w:t>
      </w:r>
      <w:r w:rsidR="008A1483">
        <w:t xml:space="preserve">key </w:t>
      </w:r>
      <w:r w:rsidRPr="00654152">
        <w:t>strategic challenges for 201</w:t>
      </w:r>
      <w:r w:rsidR="008A1483">
        <w:t>7</w:t>
      </w:r>
      <w:r w:rsidRPr="00654152">
        <w:noBreakHyphen/>
        <w:t>1</w:t>
      </w:r>
      <w:r w:rsidR="008A1483">
        <w:t>8 and into the future:</w:t>
      </w:r>
      <w:r w:rsidRPr="00A250E2">
        <w:t xml:space="preserve"> </w:t>
      </w:r>
    </w:p>
    <w:p w14:paraId="4D6866D8" w14:textId="77777777" w:rsidR="003B12F9" w:rsidRDefault="003B12F9" w:rsidP="0017125F">
      <w:pPr>
        <w:pStyle w:val="BodyText"/>
        <w:widowControl w:val="0"/>
        <w:numPr>
          <w:ilvl w:val="0"/>
          <w:numId w:val="15"/>
        </w:numPr>
        <w:ind w:left="426" w:hanging="568"/>
      </w:pPr>
      <w:r>
        <w:t>environmental factors and digital disruption may impact the extent to which barriers to responsive and integrated disaster management are effectively reduced for local governments, state agencies and key partners</w:t>
      </w:r>
    </w:p>
    <w:p w14:paraId="393E3C1E" w14:textId="77777777" w:rsidR="003B12F9" w:rsidRDefault="003B12F9" w:rsidP="0017125F">
      <w:pPr>
        <w:pStyle w:val="BodyText"/>
        <w:widowControl w:val="0"/>
        <w:numPr>
          <w:ilvl w:val="0"/>
          <w:numId w:val="15"/>
        </w:numPr>
        <w:ind w:left="426" w:hanging="568"/>
      </w:pPr>
      <w:r>
        <w:t xml:space="preserve">shifting customer expectations may impact the Office’s ability to provide valued and </w:t>
      </w:r>
      <w:r>
        <w:lastRenderedPageBreak/>
        <w:t>contemporary services to key stakeholders and partners in the emergency management sector, and to ensure state agency participation in arrangements at all levels</w:t>
      </w:r>
    </w:p>
    <w:p w14:paraId="239527F6" w14:textId="77777777" w:rsidR="00F70BC0" w:rsidRDefault="003B12F9" w:rsidP="0017125F">
      <w:pPr>
        <w:pStyle w:val="BodyText"/>
        <w:widowControl w:val="0"/>
        <w:numPr>
          <w:ilvl w:val="0"/>
          <w:numId w:val="15"/>
        </w:numPr>
        <w:ind w:left="426" w:hanging="568"/>
      </w:pPr>
      <w:r>
        <w:t>the changing hazard environment and disaster events may limit the opportunity to engage with key stakeholders, and ensure appropriate action is being taken to contribute to resilient communities</w:t>
      </w:r>
      <w:r w:rsidR="00F70BC0">
        <w:t xml:space="preserve">. </w:t>
      </w:r>
    </w:p>
    <w:p w14:paraId="2C2AD2C6" w14:textId="77777777" w:rsidR="00F70BC0" w:rsidRDefault="00F70BC0" w:rsidP="006D0FF1">
      <w:pPr>
        <w:pStyle w:val="Heading3"/>
      </w:pPr>
      <w:r>
        <w:t>Outlook</w:t>
      </w:r>
    </w:p>
    <w:p w14:paraId="01E4B792" w14:textId="77777777" w:rsidR="004B2BD6" w:rsidRDefault="004B2BD6" w:rsidP="004B2BD6">
      <w:pPr>
        <w:pStyle w:val="BodyText"/>
        <w:ind w:left="-142"/>
      </w:pPr>
      <w:r>
        <w:t>I</w:t>
      </w:r>
      <w:r w:rsidRPr="001D3539">
        <w:t>n 201</w:t>
      </w:r>
      <w:r>
        <w:t>8</w:t>
      </w:r>
      <w:r w:rsidRPr="001D3539">
        <w:t>-1</w:t>
      </w:r>
      <w:r>
        <w:t>9</w:t>
      </w:r>
      <w:r w:rsidRPr="001D3539">
        <w:t xml:space="preserve">, the Office </w:t>
      </w:r>
      <w:r>
        <w:t xml:space="preserve">will contribute to </w:t>
      </w:r>
      <w:r w:rsidR="00B52647" w:rsidRPr="00B2476D">
        <w:rPr>
          <w:i/>
        </w:rPr>
        <w:t>Our Future State: Advancing Queensland’s Priorities</w:t>
      </w:r>
      <w:r w:rsidR="00B52647">
        <w:t xml:space="preserve"> </w:t>
      </w:r>
      <w:r>
        <w:t>(launched 11 June 2018) to keep communities safe</w:t>
      </w:r>
      <w:r w:rsidR="0036335A">
        <w:t xml:space="preserve"> and be a responsive government through a range of initiatives, including:</w:t>
      </w:r>
    </w:p>
    <w:p w14:paraId="3E631403" w14:textId="77777777" w:rsidR="0036335A" w:rsidRDefault="0036335A" w:rsidP="0017125F">
      <w:pPr>
        <w:pStyle w:val="BodyText"/>
        <w:widowControl w:val="0"/>
        <w:numPr>
          <w:ilvl w:val="0"/>
          <w:numId w:val="15"/>
        </w:numPr>
        <w:ind w:left="426" w:hanging="568"/>
      </w:pPr>
      <w:r>
        <w:t>promoting a coordinated strategic direction for emergency management in Queensland</w:t>
      </w:r>
    </w:p>
    <w:p w14:paraId="7A0384DD" w14:textId="77777777" w:rsidR="0036335A" w:rsidRDefault="0036335A" w:rsidP="0017125F">
      <w:pPr>
        <w:pStyle w:val="BodyText"/>
        <w:widowControl w:val="0"/>
        <w:numPr>
          <w:ilvl w:val="0"/>
          <w:numId w:val="15"/>
        </w:numPr>
        <w:ind w:left="426" w:hanging="568"/>
      </w:pPr>
      <w:r>
        <w:t xml:space="preserve">undertaking targeted reviews that identify risks and prioritise improvements based on community outcomes </w:t>
      </w:r>
    </w:p>
    <w:p w14:paraId="740D17F4" w14:textId="77777777" w:rsidR="0036335A" w:rsidRDefault="0036335A" w:rsidP="0017125F">
      <w:pPr>
        <w:pStyle w:val="BodyText"/>
        <w:widowControl w:val="0"/>
        <w:numPr>
          <w:ilvl w:val="0"/>
          <w:numId w:val="15"/>
        </w:numPr>
        <w:ind w:left="426" w:hanging="568"/>
      </w:pPr>
      <w:r>
        <w:t>providing system analysis, oversight, monitoring and assurance that builds capability and empowers key stakeholders to effectively deliver their emergency management accountabilities and outcomes</w:t>
      </w:r>
    </w:p>
    <w:p w14:paraId="355CEDA4" w14:textId="77777777" w:rsidR="0036335A" w:rsidRDefault="0036335A" w:rsidP="0017125F">
      <w:pPr>
        <w:pStyle w:val="BodyText"/>
        <w:widowControl w:val="0"/>
        <w:numPr>
          <w:ilvl w:val="0"/>
          <w:numId w:val="15"/>
        </w:numPr>
        <w:ind w:left="426" w:hanging="568"/>
      </w:pPr>
      <w:r>
        <w:t>adopting a coll</w:t>
      </w:r>
      <w:r w:rsidR="00AD540E">
        <w:t>a</w:t>
      </w:r>
      <w:r>
        <w:t>borative approach to lessons management across the disaster management sector</w:t>
      </w:r>
    </w:p>
    <w:p w14:paraId="49158C1D" w14:textId="77777777" w:rsidR="0036335A" w:rsidRDefault="00AD540E" w:rsidP="0017125F">
      <w:pPr>
        <w:pStyle w:val="BodyText"/>
        <w:widowControl w:val="0"/>
        <w:numPr>
          <w:ilvl w:val="0"/>
          <w:numId w:val="15"/>
        </w:numPr>
        <w:ind w:left="426" w:hanging="568"/>
      </w:pPr>
      <w:r>
        <w:t xml:space="preserve">designing and embedding contemporary assurance frameworks and tools that are valued by stakeholders and enable improved performance, evaluation and reporting </w:t>
      </w:r>
    </w:p>
    <w:p w14:paraId="5AACFEB6" w14:textId="77777777" w:rsidR="00AD540E" w:rsidRDefault="00AD540E" w:rsidP="0017125F">
      <w:pPr>
        <w:pStyle w:val="BodyText"/>
        <w:widowControl w:val="0"/>
        <w:numPr>
          <w:ilvl w:val="0"/>
          <w:numId w:val="15"/>
        </w:numPr>
        <w:ind w:left="426" w:hanging="568"/>
      </w:pPr>
      <w:r>
        <w:t>seeking and harnessing trusted partnerships that promote collaboration, community-centric engagement, leadership and resilience</w:t>
      </w:r>
    </w:p>
    <w:p w14:paraId="39B48594" w14:textId="77777777" w:rsidR="00AD540E" w:rsidRDefault="00AD540E" w:rsidP="0017125F">
      <w:pPr>
        <w:pStyle w:val="BodyText"/>
        <w:widowControl w:val="0"/>
        <w:numPr>
          <w:ilvl w:val="0"/>
          <w:numId w:val="15"/>
        </w:numPr>
        <w:ind w:left="426" w:hanging="568"/>
      </w:pPr>
      <w:r>
        <w:t xml:space="preserve">connecting and engaging with key stakeholders through adaptable platforms, systems and process that enable interoperability and good governance </w:t>
      </w:r>
    </w:p>
    <w:p w14:paraId="5D754319" w14:textId="77777777" w:rsidR="00AD540E" w:rsidRDefault="00AD540E" w:rsidP="0017125F">
      <w:pPr>
        <w:pStyle w:val="BodyText"/>
        <w:widowControl w:val="0"/>
        <w:numPr>
          <w:ilvl w:val="0"/>
          <w:numId w:val="15"/>
        </w:numPr>
        <w:ind w:left="426" w:hanging="568"/>
      </w:pPr>
      <w:r>
        <w:t xml:space="preserve">leveraging current research, analysis and leading practice to inform evidence-based policy and advice. </w:t>
      </w:r>
    </w:p>
    <w:p w14:paraId="769C0918" w14:textId="77777777" w:rsidR="00BC3BCB" w:rsidRDefault="00BC3BCB" w:rsidP="00BC3BCB">
      <w:pPr>
        <w:pStyle w:val="BodyText"/>
        <w:ind w:left="-142"/>
      </w:pPr>
      <w:r w:rsidRPr="00FC4A47">
        <w:t>Key priorities for the Office during 2018-19 include:</w:t>
      </w:r>
    </w:p>
    <w:p w14:paraId="5B15D6F4" w14:textId="77777777" w:rsidR="00FC4A47" w:rsidRPr="00FC4A47" w:rsidRDefault="00FC4A47" w:rsidP="0017125F">
      <w:pPr>
        <w:pStyle w:val="BodyText"/>
        <w:widowControl w:val="0"/>
        <w:numPr>
          <w:ilvl w:val="0"/>
          <w:numId w:val="15"/>
        </w:numPr>
        <w:ind w:left="426" w:hanging="568"/>
      </w:pPr>
      <w:r>
        <w:t xml:space="preserve">leading the development and implementation of a system-wide lessons management program for Queensland that includes a means of assessing the outcomes of review recommendations </w:t>
      </w:r>
    </w:p>
    <w:p w14:paraId="6FE42495" w14:textId="77777777" w:rsidR="00FC4A47" w:rsidRDefault="00FC4A47" w:rsidP="0017125F">
      <w:pPr>
        <w:pStyle w:val="BodyText"/>
        <w:widowControl w:val="0"/>
        <w:numPr>
          <w:ilvl w:val="0"/>
          <w:numId w:val="15"/>
        </w:numPr>
        <w:ind w:left="426" w:hanging="568"/>
      </w:pPr>
      <w:r>
        <w:t xml:space="preserve">conducting </w:t>
      </w:r>
      <w:r w:rsidR="00AA3A45">
        <w:t>a Capability Review of the Mount Isa D</w:t>
      </w:r>
      <w:r>
        <w:t xml:space="preserve">isaster </w:t>
      </w:r>
      <w:r w:rsidR="00AA3A45">
        <w:t>D</w:t>
      </w:r>
      <w:r>
        <w:t xml:space="preserve">istrict, including the district and local disaster management groups </w:t>
      </w:r>
    </w:p>
    <w:p w14:paraId="1E5C4F15" w14:textId="77777777" w:rsidR="00FC4A47" w:rsidRPr="00FC4A47" w:rsidRDefault="00FC4A47" w:rsidP="0017125F">
      <w:pPr>
        <w:pStyle w:val="BodyText"/>
        <w:widowControl w:val="0"/>
        <w:numPr>
          <w:ilvl w:val="0"/>
          <w:numId w:val="15"/>
        </w:numPr>
        <w:ind w:left="426" w:hanging="568"/>
      </w:pPr>
      <w:r>
        <w:t xml:space="preserve">refreshing the </w:t>
      </w:r>
      <w:r w:rsidRPr="006B2A49">
        <w:rPr>
          <w:i/>
        </w:rPr>
        <w:t>Emergency Management Assurance Framework</w:t>
      </w:r>
      <w:r>
        <w:t xml:space="preserve">, including the </w:t>
      </w:r>
      <w:r w:rsidRPr="006B2A49">
        <w:rPr>
          <w:i/>
        </w:rPr>
        <w:t xml:space="preserve">Standard for Disaster Management in Queensland </w:t>
      </w:r>
    </w:p>
    <w:p w14:paraId="5652A248" w14:textId="77777777" w:rsidR="00FC4A47" w:rsidRDefault="00FC4A47" w:rsidP="0017125F">
      <w:pPr>
        <w:pStyle w:val="BodyText"/>
        <w:widowControl w:val="0"/>
        <w:numPr>
          <w:ilvl w:val="0"/>
          <w:numId w:val="15"/>
        </w:numPr>
        <w:ind w:left="426" w:hanging="568"/>
      </w:pPr>
      <w:r>
        <w:t>progressing research and collaborative opportunities between local disaster management practitioners and universities</w:t>
      </w:r>
    </w:p>
    <w:p w14:paraId="3B289333" w14:textId="77777777" w:rsidR="00FC4A47" w:rsidRDefault="00FC4A47" w:rsidP="0017125F">
      <w:pPr>
        <w:pStyle w:val="BodyText"/>
        <w:widowControl w:val="0"/>
        <w:numPr>
          <w:ilvl w:val="0"/>
          <w:numId w:val="15"/>
        </w:numPr>
        <w:ind w:left="426" w:hanging="568"/>
      </w:pPr>
      <w:r>
        <w:t xml:space="preserve">facilitating knowledge sharing, skills development and collaboration across the sector through a statewide network of disaster management officers. </w:t>
      </w:r>
    </w:p>
    <w:p w14:paraId="1EA3ECB6" w14:textId="77777777" w:rsidR="004261E1" w:rsidRDefault="004261E1" w:rsidP="003D5FBE">
      <w:pPr>
        <w:pStyle w:val="BodyText"/>
        <w:ind w:left="-142"/>
      </w:pPr>
      <w:r>
        <w:t>During 2018-19, key strategic challenges for the Office are:</w:t>
      </w:r>
    </w:p>
    <w:p w14:paraId="11BCCC26" w14:textId="77777777" w:rsidR="004261E1" w:rsidRDefault="004261E1" w:rsidP="0017125F">
      <w:pPr>
        <w:pStyle w:val="BodyText"/>
        <w:widowControl w:val="0"/>
        <w:numPr>
          <w:ilvl w:val="0"/>
          <w:numId w:val="15"/>
        </w:numPr>
        <w:ind w:left="426" w:hanging="568"/>
      </w:pPr>
      <w:r>
        <w:t>balancing competing customer and stakeholder expectations</w:t>
      </w:r>
    </w:p>
    <w:p w14:paraId="12F092F7" w14:textId="77777777" w:rsidR="004261E1" w:rsidRDefault="004261E1" w:rsidP="0017125F">
      <w:pPr>
        <w:pStyle w:val="BodyText"/>
        <w:widowControl w:val="0"/>
        <w:numPr>
          <w:ilvl w:val="0"/>
          <w:numId w:val="15"/>
        </w:numPr>
        <w:ind w:left="426" w:hanging="568"/>
      </w:pPr>
      <w:r>
        <w:t xml:space="preserve">actively engaging with emergency management partners in a changing hazard environment </w:t>
      </w:r>
    </w:p>
    <w:p w14:paraId="3242DA4F" w14:textId="77777777" w:rsidR="004261E1" w:rsidRDefault="004261E1" w:rsidP="0017125F">
      <w:pPr>
        <w:pStyle w:val="BodyText"/>
        <w:widowControl w:val="0"/>
        <w:numPr>
          <w:ilvl w:val="0"/>
          <w:numId w:val="15"/>
        </w:numPr>
        <w:ind w:left="426" w:hanging="568"/>
      </w:pPr>
      <w:r>
        <w:t xml:space="preserve">monitoring advances in emergency management service delivery, systems and platforms. </w:t>
      </w:r>
    </w:p>
    <w:p w14:paraId="49BDD49A" w14:textId="77777777" w:rsidR="00F70BC0" w:rsidRDefault="0041461C" w:rsidP="006D0FF1">
      <w:pPr>
        <w:pStyle w:val="Heading3"/>
      </w:pPr>
      <w:r>
        <w:t>Our partners</w:t>
      </w:r>
    </w:p>
    <w:p w14:paraId="1291F1DD" w14:textId="77777777" w:rsidR="00EA12FA" w:rsidRDefault="00EA12FA" w:rsidP="00370D0C">
      <w:pPr>
        <w:pStyle w:val="BodyText"/>
        <w:ind w:left="-142"/>
      </w:pPr>
      <w:r w:rsidRPr="00654152">
        <w:t>The Office works across the emergency and disaster management sector to improve disaster management outcomes for the community</w:t>
      </w:r>
      <w:r>
        <w:t>.</w:t>
      </w:r>
    </w:p>
    <w:p w14:paraId="03F85D91" w14:textId="77777777" w:rsidR="00E95907" w:rsidRPr="00654152" w:rsidRDefault="00E95907" w:rsidP="00E95907">
      <w:pPr>
        <w:pStyle w:val="BodyText"/>
        <w:ind w:left="-142"/>
      </w:pPr>
      <w:r>
        <w:lastRenderedPageBreak/>
        <w:t xml:space="preserve">It maintains </w:t>
      </w:r>
      <w:r w:rsidRPr="00654152">
        <w:t>strong relationships with its partners in the community including local governments and non-government organisations.</w:t>
      </w:r>
    </w:p>
    <w:p w14:paraId="6A2A3294" w14:textId="77777777" w:rsidR="00E95907" w:rsidRDefault="00E95907" w:rsidP="00370D0C">
      <w:pPr>
        <w:pStyle w:val="BodyText"/>
        <w:ind w:left="-142"/>
      </w:pPr>
      <w:r>
        <w:t xml:space="preserve">The Office also </w:t>
      </w:r>
      <w:r w:rsidR="00EA12FA" w:rsidRPr="00654152">
        <w:t xml:space="preserve">works closely </w:t>
      </w:r>
      <w:r w:rsidR="009B1588">
        <w:t>with</w:t>
      </w:r>
      <w:r>
        <w:t>:</w:t>
      </w:r>
    </w:p>
    <w:p w14:paraId="6FE34CBA" w14:textId="77777777" w:rsidR="00E95907" w:rsidRDefault="00E95907" w:rsidP="0017125F">
      <w:pPr>
        <w:pStyle w:val="BodyText"/>
        <w:widowControl w:val="0"/>
        <w:numPr>
          <w:ilvl w:val="0"/>
          <w:numId w:val="15"/>
        </w:numPr>
        <w:ind w:left="426" w:hanging="568"/>
      </w:pPr>
      <w:r>
        <w:t>the public safety agencies</w:t>
      </w:r>
      <w:r w:rsidRPr="00654152">
        <w:t xml:space="preserve"> </w:t>
      </w:r>
      <w:r>
        <w:t>–</w:t>
      </w:r>
      <w:r w:rsidRPr="00654152">
        <w:t xml:space="preserve"> </w:t>
      </w:r>
      <w:r>
        <w:t xml:space="preserve">Queensland Fire and Emergency Services (QFES), Queensland Police Service (QPS), and </w:t>
      </w:r>
      <w:r w:rsidR="00915E35">
        <w:t xml:space="preserve">the </w:t>
      </w:r>
      <w:r>
        <w:t>Public Safety Business Agency (PSBA)</w:t>
      </w:r>
    </w:p>
    <w:p w14:paraId="7E036A29" w14:textId="77777777" w:rsidR="00E95907" w:rsidRDefault="00E95907" w:rsidP="0017125F">
      <w:pPr>
        <w:pStyle w:val="BodyText"/>
        <w:widowControl w:val="0"/>
        <w:numPr>
          <w:ilvl w:val="0"/>
          <w:numId w:val="15"/>
        </w:numPr>
        <w:ind w:left="426" w:hanging="568"/>
      </w:pPr>
      <w:r>
        <w:t>o</w:t>
      </w:r>
      <w:r w:rsidRPr="00654152">
        <w:t>ther Queensland Government agencies including</w:t>
      </w:r>
      <w:r w:rsidR="00632B9F" w:rsidRPr="00632B9F">
        <w:t xml:space="preserve"> </w:t>
      </w:r>
      <w:r w:rsidR="00632B9F">
        <w:t>Queensland Reconstruction Authority (QRA)</w:t>
      </w:r>
      <w:r w:rsidR="00817761">
        <w:t>, Department of the Premier and Cabinet (DPC),</w:t>
      </w:r>
      <w:r w:rsidRPr="00654152">
        <w:t xml:space="preserve"> </w:t>
      </w:r>
      <w:r>
        <w:t xml:space="preserve">Queensland Health (QH), Department of </w:t>
      </w:r>
      <w:r w:rsidRPr="00654152">
        <w:t>Transport and Main Roads</w:t>
      </w:r>
      <w:r>
        <w:t xml:space="preserve"> (DTMR),</w:t>
      </w:r>
      <w:r w:rsidRPr="00654152">
        <w:t xml:space="preserve"> </w:t>
      </w:r>
      <w:r w:rsidRPr="00370D0C">
        <w:t>Department of Communities, Disability Services and Seniors (DCDSS), Department of Local G</w:t>
      </w:r>
      <w:r w:rsidRPr="00654152">
        <w:t>overnment</w:t>
      </w:r>
      <w:r>
        <w:t>, Racing and Multicultural Affairs (DLGRMA), Department of Housing and Public Works (DHPW)</w:t>
      </w:r>
      <w:r w:rsidR="00817761">
        <w:t xml:space="preserve">, </w:t>
      </w:r>
      <w:r w:rsidR="007E0ABA">
        <w:t xml:space="preserve">and </w:t>
      </w:r>
      <w:r w:rsidR="00817761">
        <w:t>Department of Aboriginal and Torres Strait Islander Partnerships</w:t>
      </w:r>
      <w:r w:rsidR="003602EE">
        <w:t xml:space="preserve"> (DATSIP)</w:t>
      </w:r>
    </w:p>
    <w:p w14:paraId="640CAAFE" w14:textId="77777777" w:rsidR="00142B4E" w:rsidRDefault="00B72F7A" w:rsidP="0017125F">
      <w:pPr>
        <w:pStyle w:val="BodyText"/>
        <w:widowControl w:val="0"/>
        <w:numPr>
          <w:ilvl w:val="0"/>
          <w:numId w:val="15"/>
        </w:numPr>
        <w:ind w:left="426" w:hanging="568"/>
      </w:pPr>
      <w:r>
        <w:t xml:space="preserve">the </w:t>
      </w:r>
      <w:r w:rsidR="00E95907">
        <w:t>Local Government A</w:t>
      </w:r>
      <w:r w:rsidR="00817761">
        <w:t xml:space="preserve">ssociation of Queensland (LGAQ) </w:t>
      </w:r>
      <w:r w:rsidR="00E95907" w:rsidRPr="00654152">
        <w:t>and the Bureau of Meteorology</w:t>
      </w:r>
      <w:r w:rsidR="009B1588">
        <w:t xml:space="preserve"> </w:t>
      </w:r>
    </w:p>
    <w:p w14:paraId="5508B51A" w14:textId="77777777" w:rsidR="00733B89" w:rsidRDefault="00817761" w:rsidP="0017125F">
      <w:pPr>
        <w:pStyle w:val="BodyText"/>
        <w:widowControl w:val="0"/>
        <w:numPr>
          <w:ilvl w:val="0"/>
          <w:numId w:val="15"/>
        </w:numPr>
        <w:ind w:left="426" w:hanging="568"/>
      </w:pPr>
      <w:r>
        <w:t>t</w:t>
      </w:r>
      <w:r w:rsidR="00733B89">
        <w:t>he Inspector-General for Emergency Management Victoria</w:t>
      </w:r>
      <w:r>
        <w:t>.</w:t>
      </w:r>
    </w:p>
    <w:p w14:paraId="4A1896B0" w14:textId="77777777" w:rsidR="00915E35" w:rsidRDefault="00915E35" w:rsidP="00370D0C">
      <w:pPr>
        <w:pStyle w:val="BodyText"/>
        <w:ind w:left="-142"/>
      </w:pPr>
      <w:r>
        <w:t xml:space="preserve">The PSBA </w:t>
      </w:r>
      <w:r w:rsidR="00501CA1">
        <w:t>delivers</w:t>
      </w:r>
      <w:r>
        <w:t xml:space="preserve"> professional information and communication technology, financial, procurement, asset management, human resources, and audit services to the Office. QFES </w:t>
      </w:r>
      <w:r w:rsidR="00501CA1">
        <w:t xml:space="preserve">provides the Office with professional legal services. </w:t>
      </w:r>
    </w:p>
    <w:p w14:paraId="2C59BB86" w14:textId="77777777" w:rsidR="00EA12FA" w:rsidRDefault="00EA12FA" w:rsidP="00370D0C">
      <w:pPr>
        <w:pStyle w:val="BodyText"/>
        <w:ind w:left="-142"/>
      </w:pPr>
      <w:r w:rsidRPr="00654152">
        <w:t xml:space="preserve">The </w:t>
      </w:r>
      <w:r>
        <w:t xml:space="preserve">Office </w:t>
      </w:r>
      <w:r w:rsidRPr="00654152">
        <w:t>is committed to maintaining and enhancing these partnerships, and maximi</w:t>
      </w:r>
      <w:r>
        <w:t>s</w:t>
      </w:r>
      <w:r w:rsidRPr="00654152">
        <w:t>ing stakeholder liaison and collaboration, by ensuring all communication and engagement activities are based on the four key principles of:</w:t>
      </w:r>
    </w:p>
    <w:p w14:paraId="097BD881" w14:textId="77777777" w:rsidR="00F121B6" w:rsidRDefault="00F121B6" w:rsidP="0017125F">
      <w:pPr>
        <w:pStyle w:val="BodyText"/>
        <w:widowControl w:val="0"/>
        <w:numPr>
          <w:ilvl w:val="0"/>
          <w:numId w:val="15"/>
        </w:numPr>
        <w:ind w:left="426" w:hanging="568"/>
      </w:pPr>
      <w:r>
        <w:t xml:space="preserve">clear, accurate and timely communication </w:t>
      </w:r>
    </w:p>
    <w:p w14:paraId="6F2D71A7" w14:textId="77777777" w:rsidR="00F121B6" w:rsidRDefault="00F121B6" w:rsidP="0017125F">
      <w:pPr>
        <w:pStyle w:val="BodyText"/>
        <w:widowControl w:val="0"/>
        <w:numPr>
          <w:ilvl w:val="0"/>
          <w:numId w:val="15"/>
        </w:numPr>
        <w:ind w:left="426" w:hanging="568"/>
      </w:pPr>
      <w:r>
        <w:t>accessibility and inclusiveness</w:t>
      </w:r>
    </w:p>
    <w:p w14:paraId="3D6DF4A0" w14:textId="77777777" w:rsidR="00F121B6" w:rsidRDefault="00F121B6" w:rsidP="0017125F">
      <w:pPr>
        <w:pStyle w:val="BodyText"/>
        <w:widowControl w:val="0"/>
        <w:numPr>
          <w:ilvl w:val="0"/>
          <w:numId w:val="15"/>
        </w:numPr>
        <w:ind w:left="426" w:hanging="568"/>
      </w:pPr>
      <w:r>
        <w:t>transparency</w:t>
      </w:r>
    </w:p>
    <w:p w14:paraId="3E4E79C3" w14:textId="77777777" w:rsidR="00F121B6" w:rsidRDefault="00F121B6" w:rsidP="0017125F">
      <w:pPr>
        <w:pStyle w:val="BodyText"/>
        <w:widowControl w:val="0"/>
        <w:numPr>
          <w:ilvl w:val="0"/>
          <w:numId w:val="15"/>
        </w:numPr>
        <w:ind w:left="426" w:hanging="568"/>
      </w:pPr>
      <w:r>
        <w:t xml:space="preserve">measurable outcomes and evaluation. </w:t>
      </w:r>
    </w:p>
    <w:p w14:paraId="63A20D4C" w14:textId="77777777" w:rsidR="002246BA" w:rsidRDefault="00D950C6" w:rsidP="0041461C">
      <w:pPr>
        <w:rPr>
          <w:rFonts w:eastAsia="Arial"/>
          <w:sz w:val="15"/>
          <w:szCs w:val="15"/>
        </w:rPr>
      </w:pPr>
      <w:r>
        <w:br w:type="page"/>
      </w:r>
    </w:p>
    <w:p w14:paraId="5AE5062F" w14:textId="77777777" w:rsidR="00485317" w:rsidRDefault="00485317" w:rsidP="003463C9">
      <w:pPr>
        <w:pStyle w:val="Heading2"/>
        <w:rPr>
          <w:w w:val="95"/>
        </w:rPr>
        <w:sectPr w:rsidR="00485317" w:rsidSect="007C0646">
          <w:headerReference w:type="even" r:id="rId43"/>
          <w:headerReference w:type="default" r:id="rId44"/>
          <w:footerReference w:type="default" r:id="rId45"/>
          <w:headerReference w:type="first" r:id="rId46"/>
          <w:pgSz w:w="11907" w:h="16839" w:code="9"/>
          <w:pgMar w:top="720" w:right="900" w:bottom="720" w:left="1134" w:header="567" w:footer="567" w:gutter="0"/>
          <w:pgNumType w:start="1"/>
          <w:cols w:space="720"/>
          <w:docGrid w:linePitch="360"/>
        </w:sectPr>
      </w:pPr>
      <w:bookmarkStart w:id="24" w:name="_TOC_250016"/>
    </w:p>
    <w:p w14:paraId="1F2B104B" w14:textId="77777777" w:rsidR="001725EF" w:rsidRPr="001725EF" w:rsidRDefault="001725EF" w:rsidP="009D6B00">
      <w:pPr>
        <w:pStyle w:val="Heading2"/>
      </w:pPr>
      <w:bookmarkStart w:id="25" w:name="_Toc524519404"/>
      <w:r>
        <w:lastRenderedPageBreak/>
        <w:t>Structure</w:t>
      </w:r>
      <w:bookmarkEnd w:id="25"/>
    </w:p>
    <w:p w14:paraId="521CD135" w14:textId="77777777" w:rsidR="00F121B6" w:rsidRDefault="00F121B6" w:rsidP="00F121B6">
      <w:pPr>
        <w:spacing w:before="6"/>
        <w:rPr>
          <w:rFonts w:eastAsia="Arial"/>
          <w:sz w:val="26"/>
          <w:szCs w:val="26"/>
        </w:rPr>
      </w:pPr>
      <w:r>
        <w:rPr>
          <w:rFonts w:eastAsia="Arial"/>
          <w:noProof/>
          <w:sz w:val="26"/>
          <w:szCs w:val="26"/>
          <w:lang w:eastAsia="en-AU"/>
        </w:rPr>
        <w:drawing>
          <wp:inline distT="0" distB="0" distL="0" distR="0" wp14:anchorId="683E8BA8" wp14:editId="428093CF">
            <wp:extent cx="6411604" cy="1905000"/>
            <wp:effectExtent l="0" t="0" r="825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EM Org Structure.png"/>
                    <pic:cNvPicPr/>
                  </pic:nvPicPr>
                  <pic:blipFill rotWithShape="1">
                    <a:blip r:embed="rId47" cstate="print">
                      <a:extLst>
                        <a:ext uri="{28A0092B-C50C-407E-A947-70E740481C1C}">
                          <a14:useLocalDpi xmlns:a14="http://schemas.microsoft.com/office/drawing/2010/main" val="0"/>
                        </a:ext>
                      </a:extLst>
                    </a:blip>
                    <a:srcRect l="5266" t="21277" r="26875" b="50212"/>
                    <a:stretch/>
                  </pic:blipFill>
                  <pic:spPr bwMode="auto">
                    <a:xfrm>
                      <a:off x="0" y="0"/>
                      <a:ext cx="6413422" cy="1905540"/>
                    </a:xfrm>
                    <a:prstGeom prst="rect">
                      <a:avLst/>
                    </a:prstGeom>
                    <a:ln>
                      <a:noFill/>
                    </a:ln>
                    <a:extLst>
                      <a:ext uri="{53640926-AAD7-44D8-BBD7-CCE9431645EC}">
                        <a14:shadowObscured xmlns:a14="http://schemas.microsoft.com/office/drawing/2010/main"/>
                      </a:ext>
                    </a:extLst>
                  </pic:spPr>
                </pic:pic>
              </a:graphicData>
            </a:graphic>
          </wp:inline>
        </w:drawing>
      </w:r>
    </w:p>
    <w:p w14:paraId="3692AE6E" w14:textId="77777777" w:rsidR="00C834FA" w:rsidRDefault="00B551DA" w:rsidP="00A258C8">
      <w:pPr>
        <w:pStyle w:val="BodyText"/>
        <w:ind w:left="-142"/>
      </w:pPr>
      <w:r>
        <w:t xml:space="preserve">As at 30 June 2018, the </w:t>
      </w:r>
      <w:r w:rsidR="00C834FA" w:rsidRPr="00C834FA">
        <w:t>Office is comprised of:</w:t>
      </w:r>
    </w:p>
    <w:p w14:paraId="343A7313" w14:textId="77777777" w:rsidR="00C834FA" w:rsidRDefault="00C834FA" w:rsidP="0017125F">
      <w:pPr>
        <w:pStyle w:val="BodyText"/>
        <w:widowControl w:val="0"/>
        <w:numPr>
          <w:ilvl w:val="0"/>
          <w:numId w:val="15"/>
        </w:numPr>
        <w:ind w:left="426" w:hanging="568"/>
      </w:pPr>
      <w:r>
        <w:rPr>
          <w:b/>
        </w:rPr>
        <w:t xml:space="preserve">Interoperability and Innovation, </w:t>
      </w:r>
      <w:r w:rsidRPr="00C834FA">
        <w:t xml:space="preserve">responsible for </w:t>
      </w:r>
      <w:r w:rsidR="00275CCA">
        <w:t xml:space="preserve">the delivery of </w:t>
      </w:r>
      <w:r w:rsidR="00BE0B5B">
        <w:t xml:space="preserve">review and </w:t>
      </w:r>
      <w:r w:rsidR="00275CCA">
        <w:t xml:space="preserve">assurance activities and </w:t>
      </w:r>
      <w:r>
        <w:t xml:space="preserve">facilitating </w:t>
      </w:r>
      <w:r w:rsidRPr="00C834FA">
        <w:t>programs and solutions designed to help the Office</w:t>
      </w:r>
      <w:r>
        <w:t xml:space="preserve"> a</w:t>
      </w:r>
      <w:r w:rsidRPr="00C834FA">
        <w:t>nd agencies</w:t>
      </w:r>
      <w:r w:rsidRPr="00C834FA">
        <w:rPr>
          <w:spacing w:val="-32"/>
        </w:rPr>
        <w:t xml:space="preserve"> </w:t>
      </w:r>
      <w:r w:rsidRPr="00C834FA">
        <w:t>deliver better disaster management outcomes</w:t>
      </w:r>
      <w:r w:rsidR="00275CCA">
        <w:t xml:space="preserve">. </w:t>
      </w:r>
    </w:p>
    <w:p w14:paraId="415D73D3" w14:textId="77777777" w:rsidR="00C834FA" w:rsidRDefault="00C834FA" w:rsidP="0017125F">
      <w:pPr>
        <w:pStyle w:val="BodyText"/>
        <w:widowControl w:val="0"/>
        <w:numPr>
          <w:ilvl w:val="0"/>
          <w:numId w:val="15"/>
        </w:numPr>
        <w:ind w:left="426" w:hanging="568"/>
      </w:pPr>
      <w:r>
        <w:rPr>
          <w:b/>
        </w:rPr>
        <w:t xml:space="preserve">Performance, Reporting and Policy Analysis, </w:t>
      </w:r>
      <w:r w:rsidRPr="00C834FA">
        <w:t>responsible for developing</w:t>
      </w:r>
      <w:r w:rsidRPr="00EA20C1">
        <w:t xml:space="preserve"> and coordinat</w:t>
      </w:r>
      <w:r>
        <w:t>ing internal strategy, planning and governance arrangements for the Office.</w:t>
      </w:r>
    </w:p>
    <w:p w14:paraId="393129EA" w14:textId="77777777" w:rsidR="00C834FA" w:rsidRDefault="00C834FA" w:rsidP="0017125F">
      <w:pPr>
        <w:pStyle w:val="BodyText"/>
        <w:widowControl w:val="0"/>
        <w:numPr>
          <w:ilvl w:val="0"/>
          <w:numId w:val="15"/>
        </w:numPr>
        <w:ind w:left="426" w:hanging="568"/>
      </w:pPr>
      <w:r>
        <w:rPr>
          <w:b/>
        </w:rPr>
        <w:t xml:space="preserve">Standards, Best Practice and Evaluation, </w:t>
      </w:r>
      <w:r>
        <w:t>responsible for the</w:t>
      </w:r>
      <w:r w:rsidR="00275CCA">
        <w:t xml:space="preserve"> delivery of </w:t>
      </w:r>
      <w:r w:rsidR="00BE0B5B">
        <w:t xml:space="preserve">review and </w:t>
      </w:r>
      <w:r w:rsidR="00275CCA">
        <w:t xml:space="preserve">assurance activities, </w:t>
      </w:r>
      <w:r>
        <w:t xml:space="preserve">management and performance of the </w:t>
      </w:r>
      <w:r w:rsidRPr="006B2A49">
        <w:rPr>
          <w:i/>
        </w:rPr>
        <w:t>Emergency Management Assurance Framework</w:t>
      </w:r>
      <w:r>
        <w:t xml:space="preserve">, including the </w:t>
      </w:r>
      <w:r w:rsidRPr="006B2A49">
        <w:rPr>
          <w:i/>
        </w:rPr>
        <w:t>Standard for Disaster Management in Queensland</w:t>
      </w:r>
      <w:r>
        <w:t xml:space="preserve">, and the </w:t>
      </w:r>
      <w:r w:rsidRPr="006B2A49">
        <w:rPr>
          <w:i/>
        </w:rPr>
        <w:t>Assurance and</w:t>
      </w:r>
      <w:r w:rsidR="00B72F7A" w:rsidRPr="006B2A49">
        <w:rPr>
          <w:i/>
        </w:rPr>
        <w:t xml:space="preserve"> Excellence Development Program</w:t>
      </w:r>
      <w:r w:rsidR="0072333D">
        <w:t xml:space="preserve"> (AEDP)</w:t>
      </w:r>
      <w:r w:rsidR="00B72F7A">
        <w:t>.</w:t>
      </w:r>
    </w:p>
    <w:p w14:paraId="2E21BBB1" w14:textId="77777777" w:rsidR="00C834FA" w:rsidRDefault="00A258C8" w:rsidP="0017125F">
      <w:pPr>
        <w:pStyle w:val="BodyText"/>
        <w:widowControl w:val="0"/>
        <w:numPr>
          <w:ilvl w:val="0"/>
          <w:numId w:val="15"/>
        </w:numPr>
        <w:ind w:left="426" w:hanging="568"/>
      </w:pPr>
      <w:r>
        <w:rPr>
          <w:b/>
        </w:rPr>
        <w:t xml:space="preserve">Community and Stakeholder Engagement, </w:t>
      </w:r>
      <w:r w:rsidRPr="00A258C8">
        <w:t>responsible for overseeing</w:t>
      </w:r>
      <w:r>
        <w:t xml:space="preserve"> the active engagement of </w:t>
      </w:r>
      <w:r w:rsidR="000A6D36">
        <w:t xml:space="preserve">disaster management </w:t>
      </w:r>
      <w:r>
        <w:t>stakeholders</w:t>
      </w:r>
      <w:r>
        <w:rPr>
          <w:spacing w:val="-33"/>
        </w:rPr>
        <w:t xml:space="preserve"> </w:t>
      </w:r>
      <w:r w:rsidR="00275CCA">
        <w:t xml:space="preserve">across </w:t>
      </w:r>
      <w:r w:rsidR="000A6D36">
        <w:t>all levels of government</w:t>
      </w:r>
      <w:r>
        <w:t xml:space="preserve">, </w:t>
      </w:r>
      <w:r w:rsidR="00B72F7A">
        <w:t>tertiary</w:t>
      </w:r>
      <w:r w:rsidR="000A6D36">
        <w:t xml:space="preserve"> and </w:t>
      </w:r>
      <w:r w:rsidR="00275CCA">
        <w:t xml:space="preserve">non-government organisations, </w:t>
      </w:r>
      <w:r>
        <w:t xml:space="preserve">and the </w:t>
      </w:r>
      <w:r w:rsidR="00275CCA">
        <w:t>community</w:t>
      </w:r>
      <w:r>
        <w:t xml:space="preserve">. </w:t>
      </w:r>
    </w:p>
    <w:p w14:paraId="5F2A4C4A" w14:textId="77777777" w:rsidR="00F121B6" w:rsidRDefault="00F121B6" w:rsidP="00F121B6"/>
    <w:p w14:paraId="74BDAEA9" w14:textId="77777777" w:rsidR="00275CCA" w:rsidRDefault="00275CCA" w:rsidP="00F121B6"/>
    <w:p w14:paraId="2BE28C4C" w14:textId="77777777" w:rsidR="00275CCA" w:rsidRPr="00F121B6" w:rsidRDefault="00275CCA" w:rsidP="00F121B6"/>
    <w:p w14:paraId="2D2CFFAD" w14:textId="77777777" w:rsidR="00405B32" w:rsidRDefault="002B0D23" w:rsidP="00B551DA">
      <w:pPr>
        <w:jc w:val="center"/>
        <w:rPr>
          <w:rFonts w:eastAsia="Times New Roman" w:cstheme="majorBidi"/>
          <w:color w:val="FFFFFF" w:themeColor="background1"/>
          <w:sz w:val="48"/>
        </w:rPr>
      </w:pPr>
      <w:r>
        <w:rPr>
          <w:rFonts w:eastAsia="Arial"/>
        </w:rPr>
        <w:br w:type="page"/>
      </w:r>
      <w:bookmarkStart w:id="26" w:name="_Toc442339178"/>
      <w:bookmarkEnd w:id="22"/>
      <w:bookmarkEnd w:id="23"/>
      <w:bookmarkEnd w:id="24"/>
    </w:p>
    <w:p w14:paraId="32594EF0" w14:textId="77777777" w:rsidR="002B0D23" w:rsidRDefault="002B0D23" w:rsidP="00D77F80">
      <w:pPr>
        <w:pStyle w:val="Heading1"/>
        <w:ind w:left="0" w:right="77"/>
        <w:sectPr w:rsidR="002B0D23" w:rsidSect="007C0646">
          <w:pgSz w:w="11907" w:h="16839" w:code="9"/>
          <w:pgMar w:top="720" w:right="964" w:bottom="720" w:left="1134" w:header="567" w:footer="567" w:gutter="0"/>
          <w:cols w:space="720"/>
          <w:docGrid w:linePitch="360"/>
        </w:sectPr>
      </w:pPr>
    </w:p>
    <w:p w14:paraId="273624C8" w14:textId="77777777" w:rsidR="00D01B67" w:rsidRPr="00341581" w:rsidRDefault="004F5CC2" w:rsidP="00D77F80">
      <w:pPr>
        <w:pStyle w:val="Heading1"/>
        <w:ind w:left="0" w:right="77"/>
      </w:pPr>
      <w:bookmarkStart w:id="27" w:name="_Toc522266459"/>
      <w:bookmarkStart w:id="28" w:name="_Toc524519405"/>
      <w:r>
        <w:lastRenderedPageBreak/>
        <w:t>Financial s</w:t>
      </w:r>
      <w:r w:rsidR="00583F71" w:rsidRPr="00341581">
        <w:t>ummary</w:t>
      </w:r>
      <w:bookmarkEnd w:id="26"/>
      <w:bookmarkEnd w:id="27"/>
      <w:bookmarkEnd w:id="28"/>
    </w:p>
    <w:p w14:paraId="632DCD18" w14:textId="77777777" w:rsidR="00AA4F42" w:rsidRDefault="00AA4F42" w:rsidP="008F009B">
      <w:pPr>
        <w:pStyle w:val="Heading2"/>
      </w:pPr>
      <w:bookmarkStart w:id="29" w:name="_Toc524519406"/>
      <w:r>
        <w:t>Summary of financial performance</w:t>
      </w:r>
      <w:bookmarkEnd w:id="29"/>
      <w:r>
        <w:t xml:space="preserve">  </w:t>
      </w:r>
    </w:p>
    <w:p w14:paraId="6F21F3A6" w14:textId="77777777" w:rsidR="000C53FF" w:rsidRPr="00053C75" w:rsidRDefault="000C53FF" w:rsidP="000C53FF">
      <w:pPr>
        <w:ind w:left="-142"/>
      </w:pPr>
      <w:r>
        <w:t>The following table summarises the operating result and financial position for the Office for 2017-18 and the previous financial year.</w:t>
      </w:r>
    </w:p>
    <w:tbl>
      <w:tblPr>
        <w:tblW w:w="9498"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42"/>
        <w:gridCol w:w="1538"/>
        <w:gridCol w:w="1418"/>
      </w:tblGrid>
      <w:tr w:rsidR="000C53FF" w14:paraId="64D4F8A1" w14:textId="77777777" w:rsidTr="000C53FF">
        <w:trPr>
          <w:trHeight w:val="20"/>
        </w:trPr>
        <w:tc>
          <w:tcPr>
            <w:tcW w:w="6542" w:type="dxa"/>
            <w:tcBorders>
              <w:top w:val="single" w:sz="4" w:space="0" w:color="auto"/>
              <w:left w:val="single" w:sz="4" w:space="0" w:color="auto"/>
              <w:bottom w:val="single" w:sz="4" w:space="0" w:color="auto"/>
              <w:right w:val="single" w:sz="4" w:space="0" w:color="auto"/>
            </w:tcBorders>
            <w:shd w:val="clear" w:color="auto" w:fill="AB054C"/>
            <w:hideMark/>
          </w:tcPr>
          <w:p w14:paraId="048D10A8" w14:textId="77777777" w:rsidR="000C53FF" w:rsidRPr="00662315" w:rsidRDefault="000C53FF" w:rsidP="000C53FF">
            <w:pPr>
              <w:autoSpaceDE w:val="0"/>
              <w:autoSpaceDN w:val="0"/>
              <w:adjustRightInd w:val="0"/>
              <w:ind w:right="-108"/>
              <w:rPr>
                <w:b/>
                <w:color w:val="FFFFFF" w:themeColor="background1"/>
              </w:rPr>
            </w:pPr>
            <w:r w:rsidRPr="00662315">
              <w:rPr>
                <w:b/>
                <w:color w:val="FFFFFF" w:themeColor="background1"/>
              </w:rPr>
              <w:t>Statement of comprehensive income</w:t>
            </w:r>
          </w:p>
        </w:tc>
        <w:tc>
          <w:tcPr>
            <w:tcW w:w="1538" w:type="dxa"/>
            <w:tcBorders>
              <w:top w:val="single" w:sz="4" w:space="0" w:color="auto"/>
              <w:left w:val="single" w:sz="4" w:space="0" w:color="auto"/>
              <w:bottom w:val="single" w:sz="4" w:space="0" w:color="auto"/>
              <w:right w:val="single" w:sz="4" w:space="0" w:color="auto"/>
            </w:tcBorders>
            <w:shd w:val="clear" w:color="auto" w:fill="AB054C"/>
          </w:tcPr>
          <w:p w14:paraId="32C4BF7E" w14:textId="77777777" w:rsidR="000C53FF" w:rsidRPr="00662315" w:rsidRDefault="000C53FF" w:rsidP="000C53FF">
            <w:pPr>
              <w:autoSpaceDE w:val="0"/>
              <w:autoSpaceDN w:val="0"/>
              <w:adjustRightInd w:val="0"/>
              <w:ind w:right="-108"/>
              <w:jc w:val="center"/>
              <w:rPr>
                <w:b/>
                <w:color w:val="FFFFFF" w:themeColor="background1"/>
              </w:rPr>
            </w:pPr>
            <w:r>
              <w:rPr>
                <w:b/>
                <w:color w:val="FFFFFF" w:themeColor="background1"/>
              </w:rPr>
              <w:t>2017-18</w:t>
            </w:r>
          </w:p>
          <w:p w14:paraId="40F32309" w14:textId="77777777" w:rsidR="000C53FF" w:rsidRPr="00662315" w:rsidDel="002E3464" w:rsidRDefault="000C53FF" w:rsidP="000C53FF">
            <w:pPr>
              <w:autoSpaceDE w:val="0"/>
              <w:autoSpaceDN w:val="0"/>
              <w:adjustRightInd w:val="0"/>
              <w:ind w:right="-108"/>
              <w:jc w:val="center"/>
              <w:rPr>
                <w:b/>
                <w:color w:val="FFFFFF" w:themeColor="background1"/>
              </w:rPr>
            </w:pPr>
            <w:r w:rsidRPr="00662315">
              <w:rPr>
                <w:b/>
                <w:color w:val="FFFFFF" w:themeColor="background1"/>
              </w:rPr>
              <w:t>$’000</w:t>
            </w:r>
          </w:p>
        </w:tc>
        <w:tc>
          <w:tcPr>
            <w:tcW w:w="1418" w:type="dxa"/>
            <w:tcBorders>
              <w:top w:val="single" w:sz="4" w:space="0" w:color="auto"/>
              <w:left w:val="single" w:sz="4" w:space="0" w:color="auto"/>
              <w:bottom w:val="single" w:sz="4" w:space="0" w:color="auto"/>
              <w:right w:val="single" w:sz="4" w:space="0" w:color="auto"/>
            </w:tcBorders>
            <w:shd w:val="clear" w:color="auto" w:fill="AB054C"/>
          </w:tcPr>
          <w:p w14:paraId="4A93D714" w14:textId="77777777" w:rsidR="000C53FF" w:rsidRPr="00662315" w:rsidRDefault="000C53FF" w:rsidP="000C53FF">
            <w:pPr>
              <w:autoSpaceDE w:val="0"/>
              <w:autoSpaceDN w:val="0"/>
              <w:adjustRightInd w:val="0"/>
              <w:ind w:right="-108"/>
              <w:jc w:val="center"/>
              <w:rPr>
                <w:b/>
                <w:color w:val="FFFFFF" w:themeColor="background1"/>
              </w:rPr>
            </w:pPr>
            <w:r>
              <w:rPr>
                <w:b/>
                <w:color w:val="FFFFFF" w:themeColor="background1"/>
              </w:rPr>
              <w:t>2016-17</w:t>
            </w:r>
          </w:p>
          <w:p w14:paraId="24AEE6B2" w14:textId="77777777" w:rsidR="000C53FF" w:rsidRPr="00662315" w:rsidRDefault="000C53FF" w:rsidP="000C53FF">
            <w:pPr>
              <w:autoSpaceDE w:val="0"/>
              <w:autoSpaceDN w:val="0"/>
              <w:adjustRightInd w:val="0"/>
              <w:ind w:right="-108"/>
              <w:jc w:val="center"/>
              <w:rPr>
                <w:b/>
                <w:color w:val="FFFFFF" w:themeColor="background1"/>
              </w:rPr>
            </w:pPr>
            <w:r w:rsidRPr="00662315">
              <w:rPr>
                <w:b/>
                <w:color w:val="FFFFFF" w:themeColor="background1"/>
              </w:rPr>
              <w:t>$’000</w:t>
            </w:r>
          </w:p>
        </w:tc>
      </w:tr>
      <w:tr w:rsidR="000C53FF" w14:paraId="7470FDBF" w14:textId="77777777" w:rsidTr="000C53FF">
        <w:trPr>
          <w:trHeight w:val="200"/>
        </w:trPr>
        <w:tc>
          <w:tcPr>
            <w:tcW w:w="6542" w:type="dxa"/>
            <w:tcBorders>
              <w:top w:val="single" w:sz="4" w:space="0" w:color="auto"/>
              <w:left w:val="single" w:sz="4" w:space="0" w:color="auto"/>
              <w:bottom w:val="single" w:sz="4" w:space="0" w:color="auto"/>
              <w:right w:val="single" w:sz="4" w:space="0" w:color="auto"/>
            </w:tcBorders>
          </w:tcPr>
          <w:p w14:paraId="59531AA5" w14:textId="77777777" w:rsidR="000C53FF" w:rsidRPr="00EB4B72" w:rsidRDefault="000C53FF" w:rsidP="000C53FF">
            <w:pPr>
              <w:autoSpaceDE w:val="0"/>
              <w:autoSpaceDN w:val="0"/>
              <w:adjustRightInd w:val="0"/>
              <w:ind w:right="-108"/>
              <w:rPr>
                <w:szCs w:val="22"/>
              </w:rPr>
            </w:pPr>
            <w:r w:rsidRPr="00EB4B72">
              <w:rPr>
                <w:szCs w:val="22"/>
              </w:rPr>
              <w:t>Total income from continuing operations</w:t>
            </w:r>
          </w:p>
        </w:tc>
        <w:tc>
          <w:tcPr>
            <w:tcW w:w="1538" w:type="dxa"/>
            <w:tcBorders>
              <w:top w:val="single" w:sz="4" w:space="0" w:color="auto"/>
              <w:left w:val="single" w:sz="4" w:space="0" w:color="auto"/>
              <w:bottom w:val="single" w:sz="4" w:space="0" w:color="auto"/>
              <w:right w:val="single" w:sz="4" w:space="0" w:color="auto"/>
            </w:tcBorders>
          </w:tcPr>
          <w:p w14:paraId="643203D5" w14:textId="77777777" w:rsidR="000C53FF" w:rsidRDefault="000C53FF" w:rsidP="000C53FF">
            <w:pPr>
              <w:autoSpaceDE w:val="0"/>
              <w:autoSpaceDN w:val="0"/>
              <w:adjustRightInd w:val="0"/>
              <w:ind w:right="-108"/>
              <w:jc w:val="center"/>
            </w:pPr>
            <w:r>
              <w:t>4,925</w:t>
            </w:r>
          </w:p>
        </w:tc>
        <w:tc>
          <w:tcPr>
            <w:tcW w:w="1418" w:type="dxa"/>
            <w:tcBorders>
              <w:top w:val="single" w:sz="4" w:space="0" w:color="auto"/>
              <w:left w:val="single" w:sz="4" w:space="0" w:color="auto"/>
              <w:bottom w:val="single" w:sz="4" w:space="0" w:color="auto"/>
              <w:right w:val="single" w:sz="4" w:space="0" w:color="auto"/>
            </w:tcBorders>
          </w:tcPr>
          <w:p w14:paraId="6DC9DEB0" w14:textId="77777777" w:rsidR="000C53FF" w:rsidRDefault="000C53FF" w:rsidP="000C53FF">
            <w:pPr>
              <w:autoSpaceDE w:val="0"/>
              <w:autoSpaceDN w:val="0"/>
              <w:adjustRightInd w:val="0"/>
              <w:ind w:right="-108"/>
              <w:jc w:val="center"/>
            </w:pPr>
            <w:r>
              <w:t>4,591</w:t>
            </w:r>
          </w:p>
        </w:tc>
      </w:tr>
      <w:tr w:rsidR="000C53FF" w14:paraId="6BC74EDA" w14:textId="77777777" w:rsidTr="000C53FF">
        <w:trPr>
          <w:trHeight w:val="20"/>
        </w:trPr>
        <w:tc>
          <w:tcPr>
            <w:tcW w:w="6542" w:type="dxa"/>
            <w:tcBorders>
              <w:top w:val="single" w:sz="4" w:space="0" w:color="auto"/>
              <w:left w:val="single" w:sz="4" w:space="0" w:color="auto"/>
              <w:bottom w:val="single" w:sz="4" w:space="0" w:color="auto"/>
              <w:right w:val="single" w:sz="4" w:space="0" w:color="auto"/>
            </w:tcBorders>
          </w:tcPr>
          <w:p w14:paraId="2DC37350" w14:textId="77777777" w:rsidR="000C53FF" w:rsidRDefault="000C53FF" w:rsidP="000C53FF">
            <w:pPr>
              <w:autoSpaceDE w:val="0"/>
              <w:autoSpaceDN w:val="0"/>
              <w:adjustRightInd w:val="0"/>
              <w:ind w:right="-108"/>
            </w:pPr>
            <w:r>
              <w:t>Total expenses from continuing operations</w:t>
            </w:r>
          </w:p>
        </w:tc>
        <w:tc>
          <w:tcPr>
            <w:tcW w:w="1538" w:type="dxa"/>
            <w:tcBorders>
              <w:top w:val="single" w:sz="4" w:space="0" w:color="auto"/>
              <w:left w:val="single" w:sz="4" w:space="0" w:color="auto"/>
              <w:bottom w:val="single" w:sz="4" w:space="0" w:color="auto"/>
              <w:right w:val="single" w:sz="4" w:space="0" w:color="auto"/>
            </w:tcBorders>
          </w:tcPr>
          <w:p w14:paraId="3E2B7F55" w14:textId="77777777" w:rsidR="000C53FF" w:rsidRDefault="000C53FF" w:rsidP="000C53FF">
            <w:pPr>
              <w:autoSpaceDE w:val="0"/>
              <w:autoSpaceDN w:val="0"/>
              <w:adjustRightInd w:val="0"/>
              <w:ind w:right="-108"/>
              <w:jc w:val="center"/>
            </w:pPr>
            <w:r>
              <w:t>4,923</w:t>
            </w:r>
          </w:p>
        </w:tc>
        <w:tc>
          <w:tcPr>
            <w:tcW w:w="1418" w:type="dxa"/>
            <w:tcBorders>
              <w:top w:val="single" w:sz="4" w:space="0" w:color="auto"/>
              <w:left w:val="single" w:sz="4" w:space="0" w:color="auto"/>
              <w:bottom w:val="single" w:sz="4" w:space="0" w:color="auto"/>
              <w:right w:val="single" w:sz="4" w:space="0" w:color="auto"/>
            </w:tcBorders>
          </w:tcPr>
          <w:p w14:paraId="25C0AD5B" w14:textId="77777777" w:rsidR="000C53FF" w:rsidRDefault="000C53FF" w:rsidP="000C53FF">
            <w:pPr>
              <w:autoSpaceDE w:val="0"/>
              <w:autoSpaceDN w:val="0"/>
              <w:adjustRightInd w:val="0"/>
              <w:ind w:right="-108"/>
              <w:jc w:val="center"/>
            </w:pPr>
            <w:r>
              <w:t>4,543</w:t>
            </w:r>
          </w:p>
        </w:tc>
      </w:tr>
      <w:tr w:rsidR="000C53FF" w14:paraId="2251E4CA" w14:textId="77777777" w:rsidTr="000C53FF">
        <w:trPr>
          <w:trHeight w:val="20"/>
        </w:trPr>
        <w:tc>
          <w:tcPr>
            <w:tcW w:w="6542" w:type="dxa"/>
            <w:tcBorders>
              <w:top w:val="single" w:sz="4" w:space="0" w:color="auto"/>
              <w:left w:val="single" w:sz="4" w:space="0" w:color="auto"/>
              <w:bottom w:val="single" w:sz="4" w:space="0" w:color="auto"/>
              <w:right w:val="single" w:sz="4" w:space="0" w:color="auto"/>
            </w:tcBorders>
          </w:tcPr>
          <w:p w14:paraId="5828F662" w14:textId="77777777" w:rsidR="000C53FF" w:rsidRDefault="000C53FF" w:rsidP="000C53FF">
            <w:pPr>
              <w:autoSpaceDE w:val="0"/>
              <w:autoSpaceDN w:val="0"/>
              <w:adjustRightInd w:val="0"/>
              <w:ind w:right="-108"/>
            </w:pPr>
            <w:r>
              <w:t>Other comprehensive income</w:t>
            </w:r>
          </w:p>
        </w:tc>
        <w:tc>
          <w:tcPr>
            <w:tcW w:w="1538" w:type="dxa"/>
            <w:tcBorders>
              <w:top w:val="single" w:sz="4" w:space="0" w:color="auto"/>
              <w:left w:val="single" w:sz="4" w:space="0" w:color="auto"/>
              <w:bottom w:val="single" w:sz="4" w:space="0" w:color="auto"/>
              <w:right w:val="single" w:sz="4" w:space="0" w:color="auto"/>
            </w:tcBorders>
          </w:tcPr>
          <w:p w14:paraId="3680EABD" w14:textId="77777777" w:rsidR="000C53FF" w:rsidRDefault="000C53FF" w:rsidP="000C53FF">
            <w:pPr>
              <w:autoSpaceDE w:val="0"/>
              <w:autoSpaceDN w:val="0"/>
              <w:adjustRightInd w:val="0"/>
              <w:ind w:right="-108"/>
              <w:jc w:val="center"/>
            </w:pPr>
            <w:r>
              <w:t>Nil</w:t>
            </w:r>
          </w:p>
        </w:tc>
        <w:tc>
          <w:tcPr>
            <w:tcW w:w="1418" w:type="dxa"/>
            <w:tcBorders>
              <w:top w:val="single" w:sz="4" w:space="0" w:color="auto"/>
              <w:left w:val="single" w:sz="4" w:space="0" w:color="auto"/>
              <w:bottom w:val="single" w:sz="4" w:space="0" w:color="auto"/>
              <w:right w:val="single" w:sz="4" w:space="0" w:color="auto"/>
            </w:tcBorders>
          </w:tcPr>
          <w:p w14:paraId="0ABA2609" w14:textId="77777777" w:rsidR="000C53FF" w:rsidRDefault="000C53FF" w:rsidP="000C53FF">
            <w:pPr>
              <w:autoSpaceDE w:val="0"/>
              <w:autoSpaceDN w:val="0"/>
              <w:adjustRightInd w:val="0"/>
              <w:ind w:right="-108"/>
              <w:jc w:val="center"/>
            </w:pPr>
            <w:r>
              <w:t>Nil</w:t>
            </w:r>
          </w:p>
        </w:tc>
      </w:tr>
      <w:tr w:rsidR="000C53FF" w14:paraId="2BBB7914" w14:textId="77777777" w:rsidTr="000C53FF">
        <w:trPr>
          <w:trHeight w:val="20"/>
        </w:trPr>
        <w:tc>
          <w:tcPr>
            <w:tcW w:w="6542" w:type="dxa"/>
            <w:tcBorders>
              <w:top w:val="single" w:sz="4" w:space="0" w:color="auto"/>
              <w:left w:val="single" w:sz="4" w:space="0" w:color="auto"/>
              <w:bottom w:val="single" w:sz="4" w:space="0" w:color="auto"/>
              <w:right w:val="single" w:sz="4" w:space="0" w:color="auto"/>
            </w:tcBorders>
          </w:tcPr>
          <w:p w14:paraId="3AC2D1BB" w14:textId="77777777" w:rsidR="000C53FF" w:rsidRDefault="000C53FF" w:rsidP="000C53FF">
            <w:pPr>
              <w:autoSpaceDE w:val="0"/>
              <w:autoSpaceDN w:val="0"/>
              <w:adjustRightInd w:val="0"/>
              <w:ind w:right="-108"/>
              <w:rPr>
                <w:b/>
              </w:rPr>
            </w:pPr>
            <w:r>
              <w:rPr>
                <w:b/>
              </w:rPr>
              <w:t>Total comprehensive income</w:t>
            </w:r>
          </w:p>
        </w:tc>
        <w:tc>
          <w:tcPr>
            <w:tcW w:w="1538" w:type="dxa"/>
            <w:tcBorders>
              <w:top w:val="single" w:sz="4" w:space="0" w:color="auto"/>
              <w:left w:val="single" w:sz="4" w:space="0" w:color="auto"/>
              <w:bottom w:val="single" w:sz="4" w:space="0" w:color="auto"/>
              <w:right w:val="single" w:sz="4" w:space="0" w:color="auto"/>
            </w:tcBorders>
          </w:tcPr>
          <w:p w14:paraId="5EF4BD30" w14:textId="77777777" w:rsidR="000C53FF" w:rsidDel="00431A8D" w:rsidRDefault="000C53FF" w:rsidP="000C53FF">
            <w:pPr>
              <w:autoSpaceDE w:val="0"/>
              <w:autoSpaceDN w:val="0"/>
              <w:adjustRightInd w:val="0"/>
              <w:ind w:right="-108"/>
              <w:jc w:val="center"/>
              <w:rPr>
                <w:b/>
              </w:rPr>
            </w:pPr>
            <w:r>
              <w:rPr>
                <w:b/>
              </w:rPr>
              <w:t>2</w:t>
            </w:r>
          </w:p>
        </w:tc>
        <w:tc>
          <w:tcPr>
            <w:tcW w:w="1418" w:type="dxa"/>
            <w:tcBorders>
              <w:top w:val="single" w:sz="4" w:space="0" w:color="auto"/>
              <w:left w:val="single" w:sz="4" w:space="0" w:color="auto"/>
              <w:bottom w:val="single" w:sz="4" w:space="0" w:color="auto"/>
              <w:right w:val="single" w:sz="4" w:space="0" w:color="auto"/>
            </w:tcBorders>
          </w:tcPr>
          <w:p w14:paraId="6E0AB480" w14:textId="77777777" w:rsidR="000C53FF" w:rsidRDefault="000C53FF" w:rsidP="000C53FF">
            <w:pPr>
              <w:autoSpaceDE w:val="0"/>
              <w:autoSpaceDN w:val="0"/>
              <w:adjustRightInd w:val="0"/>
              <w:ind w:right="-108"/>
              <w:jc w:val="center"/>
              <w:rPr>
                <w:b/>
              </w:rPr>
            </w:pPr>
            <w:r>
              <w:rPr>
                <w:b/>
              </w:rPr>
              <w:t>48</w:t>
            </w:r>
          </w:p>
        </w:tc>
      </w:tr>
      <w:tr w:rsidR="000C53FF" w14:paraId="056A17A9" w14:textId="77777777" w:rsidTr="000C53FF">
        <w:trPr>
          <w:trHeight w:val="20"/>
        </w:trPr>
        <w:tc>
          <w:tcPr>
            <w:tcW w:w="6542" w:type="dxa"/>
            <w:tcBorders>
              <w:top w:val="single" w:sz="4" w:space="0" w:color="auto"/>
              <w:left w:val="single" w:sz="4" w:space="0" w:color="auto"/>
              <w:bottom w:val="single" w:sz="4" w:space="0" w:color="auto"/>
              <w:right w:val="single" w:sz="4" w:space="0" w:color="auto"/>
            </w:tcBorders>
            <w:shd w:val="clear" w:color="auto" w:fill="AB054C"/>
          </w:tcPr>
          <w:p w14:paraId="5220C15E" w14:textId="77777777" w:rsidR="000C53FF" w:rsidRPr="00662315" w:rsidRDefault="000C53FF" w:rsidP="000C53FF">
            <w:pPr>
              <w:autoSpaceDE w:val="0"/>
              <w:autoSpaceDN w:val="0"/>
              <w:adjustRightInd w:val="0"/>
              <w:ind w:right="-108"/>
              <w:rPr>
                <w:color w:val="FFFFFF" w:themeColor="background1"/>
              </w:rPr>
            </w:pPr>
            <w:r w:rsidRPr="00662315">
              <w:rPr>
                <w:b/>
                <w:color w:val="FFFFFF" w:themeColor="background1"/>
              </w:rPr>
              <w:t>Statement of financial position</w:t>
            </w:r>
          </w:p>
        </w:tc>
        <w:tc>
          <w:tcPr>
            <w:tcW w:w="1538" w:type="dxa"/>
            <w:tcBorders>
              <w:top w:val="single" w:sz="4" w:space="0" w:color="auto"/>
              <w:left w:val="single" w:sz="4" w:space="0" w:color="auto"/>
              <w:bottom w:val="single" w:sz="4" w:space="0" w:color="auto"/>
              <w:right w:val="single" w:sz="4" w:space="0" w:color="auto"/>
            </w:tcBorders>
            <w:shd w:val="clear" w:color="auto" w:fill="AB054C"/>
          </w:tcPr>
          <w:p w14:paraId="4DA70977" w14:textId="77777777" w:rsidR="000C53FF" w:rsidRPr="00662315" w:rsidRDefault="000C53FF" w:rsidP="000C53FF">
            <w:pPr>
              <w:autoSpaceDE w:val="0"/>
              <w:autoSpaceDN w:val="0"/>
              <w:adjustRightInd w:val="0"/>
              <w:ind w:right="-108"/>
              <w:jc w:val="center"/>
              <w:rPr>
                <w:color w:val="FFFFFF" w:themeColor="background1"/>
              </w:rPr>
            </w:pPr>
          </w:p>
        </w:tc>
        <w:tc>
          <w:tcPr>
            <w:tcW w:w="1418" w:type="dxa"/>
            <w:tcBorders>
              <w:top w:val="single" w:sz="4" w:space="0" w:color="auto"/>
              <w:left w:val="single" w:sz="4" w:space="0" w:color="auto"/>
              <w:bottom w:val="single" w:sz="4" w:space="0" w:color="auto"/>
              <w:right w:val="single" w:sz="4" w:space="0" w:color="auto"/>
            </w:tcBorders>
            <w:shd w:val="clear" w:color="auto" w:fill="AB054C"/>
          </w:tcPr>
          <w:p w14:paraId="1C22FDAA" w14:textId="77777777" w:rsidR="000C53FF" w:rsidRPr="00662315" w:rsidRDefault="000C53FF" w:rsidP="000C53FF">
            <w:pPr>
              <w:autoSpaceDE w:val="0"/>
              <w:autoSpaceDN w:val="0"/>
              <w:adjustRightInd w:val="0"/>
              <w:ind w:right="-108"/>
              <w:jc w:val="center"/>
              <w:rPr>
                <w:color w:val="FFFFFF" w:themeColor="background1"/>
              </w:rPr>
            </w:pPr>
          </w:p>
        </w:tc>
      </w:tr>
      <w:tr w:rsidR="000C53FF" w14:paraId="3E5295B2" w14:textId="77777777" w:rsidTr="000C53FF">
        <w:trPr>
          <w:trHeight w:val="20"/>
        </w:trPr>
        <w:tc>
          <w:tcPr>
            <w:tcW w:w="6542" w:type="dxa"/>
            <w:tcBorders>
              <w:top w:val="single" w:sz="4" w:space="0" w:color="auto"/>
              <w:left w:val="single" w:sz="4" w:space="0" w:color="auto"/>
              <w:bottom w:val="single" w:sz="4" w:space="0" w:color="auto"/>
              <w:right w:val="single" w:sz="4" w:space="0" w:color="auto"/>
            </w:tcBorders>
          </w:tcPr>
          <w:p w14:paraId="521A6B03" w14:textId="77777777" w:rsidR="000C53FF" w:rsidRDefault="000C53FF" w:rsidP="000C53FF">
            <w:pPr>
              <w:autoSpaceDE w:val="0"/>
              <w:autoSpaceDN w:val="0"/>
              <w:adjustRightInd w:val="0"/>
              <w:ind w:right="-108"/>
            </w:pPr>
            <w:r>
              <w:t>Total assets</w:t>
            </w:r>
          </w:p>
        </w:tc>
        <w:tc>
          <w:tcPr>
            <w:tcW w:w="1538" w:type="dxa"/>
            <w:tcBorders>
              <w:top w:val="single" w:sz="4" w:space="0" w:color="auto"/>
              <w:left w:val="single" w:sz="4" w:space="0" w:color="auto"/>
              <w:bottom w:val="single" w:sz="4" w:space="0" w:color="auto"/>
              <w:right w:val="single" w:sz="4" w:space="0" w:color="auto"/>
            </w:tcBorders>
          </w:tcPr>
          <w:p w14:paraId="5A8829E8" w14:textId="77777777" w:rsidR="000C53FF" w:rsidRDefault="000C53FF" w:rsidP="000C53FF">
            <w:pPr>
              <w:autoSpaceDE w:val="0"/>
              <w:autoSpaceDN w:val="0"/>
              <w:adjustRightInd w:val="0"/>
              <w:ind w:right="-108"/>
              <w:jc w:val="center"/>
            </w:pPr>
            <w:r>
              <w:t>1,598</w:t>
            </w:r>
          </w:p>
        </w:tc>
        <w:tc>
          <w:tcPr>
            <w:tcW w:w="1418" w:type="dxa"/>
            <w:tcBorders>
              <w:top w:val="single" w:sz="4" w:space="0" w:color="auto"/>
              <w:left w:val="single" w:sz="4" w:space="0" w:color="auto"/>
              <w:bottom w:val="single" w:sz="4" w:space="0" w:color="auto"/>
              <w:right w:val="single" w:sz="4" w:space="0" w:color="auto"/>
            </w:tcBorders>
          </w:tcPr>
          <w:p w14:paraId="34BC7EA0" w14:textId="77777777" w:rsidR="000C53FF" w:rsidRDefault="000C53FF" w:rsidP="000C53FF">
            <w:pPr>
              <w:autoSpaceDE w:val="0"/>
              <w:autoSpaceDN w:val="0"/>
              <w:adjustRightInd w:val="0"/>
              <w:ind w:right="-108"/>
              <w:jc w:val="center"/>
            </w:pPr>
            <w:r>
              <w:t>1,545</w:t>
            </w:r>
          </w:p>
        </w:tc>
      </w:tr>
      <w:tr w:rsidR="000C53FF" w14:paraId="264679C9" w14:textId="77777777" w:rsidTr="000C53FF">
        <w:trPr>
          <w:trHeight w:val="20"/>
        </w:trPr>
        <w:tc>
          <w:tcPr>
            <w:tcW w:w="6542" w:type="dxa"/>
            <w:tcBorders>
              <w:top w:val="single" w:sz="4" w:space="0" w:color="auto"/>
              <w:left w:val="single" w:sz="4" w:space="0" w:color="auto"/>
              <w:bottom w:val="single" w:sz="4" w:space="0" w:color="auto"/>
              <w:right w:val="single" w:sz="4" w:space="0" w:color="auto"/>
            </w:tcBorders>
          </w:tcPr>
          <w:p w14:paraId="014591C7" w14:textId="77777777" w:rsidR="000C53FF" w:rsidRDefault="000C53FF" w:rsidP="000C53FF">
            <w:pPr>
              <w:autoSpaceDE w:val="0"/>
              <w:autoSpaceDN w:val="0"/>
              <w:adjustRightInd w:val="0"/>
              <w:ind w:right="-108"/>
            </w:pPr>
            <w:r>
              <w:t>Total liabilities</w:t>
            </w:r>
          </w:p>
        </w:tc>
        <w:tc>
          <w:tcPr>
            <w:tcW w:w="1538" w:type="dxa"/>
            <w:tcBorders>
              <w:top w:val="single" w:sz="4" w:space="0" w:color="auto"/>
              <w:left w:val="single" w:sz="4" w:space="0" w:color="auto"/>
              <w:bottom w:val="single" w:sz="4" w:space="0" w:color="auto"/>
              <w:right w:val="single" w:sz="4" w:space="0" w:color="auto"/>
            </w:tcBorders>
          </w:tcPr>
          <w:p w14:paraId="64F6370A" w14:textId="77777777" w:rsidR="000C53FF" w:rsidDel="00F76F8F" w:rsidRDefault="000C53FF" w:rsidP="000C53FF">
            <w:pPr>
              <w:autoSpaceDE w:val="0"/>
              <w:autoSpaceDN w:val="0"/>
              <w:adjustRightInd w:val="0"/>
              <w:ind w:right="-108"/>
              <w:jc w:val="center"/>
            </w:pPr>
            <w:r>
              <w:t>436</w:t>
            </w:r>
          </w:p>
        </w:tc>
        <w:tc>
          <w:tcPr>
            <w:tcW w:w="1418" w:type="dxa"/>
            <w:tcBorders>
              <w:top w:val="single" w:sz="4" w:space="0" w:color="auto"/>
              <w:left w:val="single" w:sz="4" w:space="0" w:color="auto"/>
              <w:bottom w:val="single" w:sz="4" w:space="0" w:color="auto"/>
              <w:right w:val="single" w:sz="4" w:space="0" w:color="auto"/>
            </w:tcBorders>
          </w:tcPr>
          <w:p w14:paraId="54AA59DE" w14:textId="77777777" w:rsidR="000C53FF" w:rsidRDefault="000C53FF" w:rsidP="000C53FF">
            <w:pPr>
              <w:autoSpaceDE w:val="0"/>
              <w:autoSpaceDN w:val="0"/>
              <w:adjustRightInd w:val="0"/>
              <w:ind w:right="-108"/>
              <w:jc w:val="center"/>
            </w:pPr>
            <w:r>
              <w:t>385</w:t>
            </w:r>
          </w:p>
        </w:tc>
      </w:tr>
      <w:tr w:rsidR="000C53FF" w14:paraId="4B396D9D" w14:textId="77777777" w:rsidTr="000C53FF">
        <w:trPr>
          <w:trHeight w:val="364"/>
        </w:trPr>
        <w:tc>
          <w:tcPr>
            <w:tcW w:w="6542" w:type="dxa"/>
            <w:tcBorders>
              <w:top w:val="single" w:sz="4" w:space="0" w:color="auto"/>
              <w:left w:val="single" w:sz="4" w:space="0" w:color="auto"/>
              <w:bottom w:val="single" w:sz="4" w:space="0" w:color="auto"/>
              <w:right w:val="single" w:sz="4" w:space="0" w:color="auto"/>
            </w:tcBorders>
          </w:tcPr>
          <w:p w14:paraId="78BAC937" w14:textId="77777777" w:rsidR="000C53FF" w:rsidRDefault="000C53FF" w:rsidP="000C53FF">
            <w:pPr>
              <w:autoSpaceDE w:val="0"/>
              <w:autoSpaceDN w:val="0"/>
              <w:adjustRightInd w:val="0"/>
              <w:ind w:right="-108"/>
              <w:rPr>
                <w:b/>
              </w:rPr>
            </w:pPr>
            <w:r>
              <w:rPr>
                <w:b/>
              </w:rPr>
              <w:t>Net assets (equity)</w:t>
            </w:r>
          </w:p>
        </w:tc>
        <w:tc>
          <w:tcPr>
            <w:tcW w:w="1538" w:type="dxa"/>
            <w:tcBorders>
              <w:top w:val="single" w:sz="4" w:space="0" w:color="auto"/>
              <w:left w:val="single" w:sz="4" w:space="0" w:color="auto"/>
              <w:bottom w:val="single" w:sz="4" w:space="0" w:color="auto"/>
              <w:right w:val="single" w:sz="4" w:space="0" w:color="auto"/>
            </w:tcBorders>
          </w:tcPr>
          <w:p w14:paraId="30C641D6" w14:textId="77777777" w:rsidR="000C53FF" w:rsidDel="00381A75" w:rsidRDefault="000C53FF" w:rsidP="000C53FF">
            <w:pPr>
              <w:autoSpaceDE w:val="0"/>
              <w:autoSpaceDN w:val="0"/>
              <w:adjustRightInd w:val="0"/>
              <w:ind w:right="-108"/>
              <w:jc w:val="center"/>
              <w:rPr>
                <w:b/>
              </w:rPr>
            </w:pPr>
            <w:r>
              <w:rPr>
                <w:b/>
              </w:rPr>
              <w:t>1,162</w:t>
            </w:r>
          </w:p>
        </w:tc>
        <w:tc>
          <w:tcPr>
            <w:tcW w:w="1418" w:type="dxa"/>
            <w:tcBorders>
              <w:top w:val="single" w:sz="4" w:space="0" w:color="auto"/>
              <w:left w:val="single" w:sz="4" w:space="0" w:color="auto"/>
              <w:bottom w:val="single" w:sz="4" w:space="0" w:color="auto"/>
              <w:right w:val="single" w:sz="4" w:space="0" w:color="auto"/>
            </w:tcBorders>
          </w:tcPr>
          <w:p w14:paraId="40D87626" w14:textId="77777777" w:rsidR="000C53FF" w:rsidRDefault="000C53FF" w:rsidP="000C53FF">
            <w:pPr>
              <w:autoSpaceDE w:val="0"/>
              <w:autoSpaceDN w:val="0"/>
              <w:adjustRightInd w:val="0"/>
              <w:ind w:right="-108"/>
              <w:jc w:val="center"/>
              <w:rPr>
                <w:b/>
              </w:rPr>
            </w:pPr>
            <w:r>
              <w:rPr>
                <w:b/>
              </w:rPr>
              <w:t>1,160</w:t>
            </w:r>
          </w:p>
        </w:tc>
      </w:tr>
    </w:tbl>
    <w:p w14:paraId="752F09C2" w14:textId="77777777" w:rsidR="004D2721" w:rsidRPr="000B3615" w:rsidRDefault="004D2721" w:rsidP="004D2721">
      <w:pPr>
        <w:ind w:left="-142"/>
        <w:rPr>
          <w:b/>
        </w:rPr>
      </w:pPr>
      <w:r w:rsidRPr="000B3615">
        <w:rPr>
          <w:b/>
        </w:rPr>
        <w:t>Income and expenses from continuing operations</w:t>
      </w:r>
    </w:p>
    <w:p w14:paraId="28963CA2" w14:textId="77777777" w:rsidR="004D2721" w:rsidRDefault="004D2721" w:rsidP="00B2476D">
      <w:pPr>
        <w:ind w:left="-142"/>
      </w:pPr>
      <w:r>
        <w:t xml:space="preserve">The Office is responsible for providing the </w:t>
      </w:r>
      <w:r w:rsidRPr="00506C73">
        <w:t>Minister for Fire and Emergency Services,</w:t>
      </w:r>
      <w:r>
        <w:t xml:space="preserve"> government and </w:t>
      </w:r>
      <w:r w:rsidR="00506C73">
        <w:t xml:space="preserve">the </w:t>
      </w:r>
      <w:r>
        <w:t>people of Queensland an assurance of public safety, through the establishment and implementation of an assurance framework to direct, guide and focus work of all agencies, across all tiers of government to the desired outcomes of the disaster and emergency management arrangements for Queensland.</w:t>
      </w:r>
    </w:p>
    <w:p w14:paraId="26A0CEB9" w14:textId="31346CC1" w:rsidR="004D2721" w:rsidRDefault="004D2721" w:rsidP="00B2476D">
      <w:pPr>
        <w:ind w:left="-142"/>
      </w:pPr>
      <w:r>
        <w:t>The Office is funded to deliver the above services predominantly through parliamentary appropriations. The Office is</w:t>
      </w:r>
      <w:r w:rsidR="006D7103">
        <w:t xml:space="preserve"> supported by the PSBA, </w:t>
      </w:r>
      <w:r>
        <w:t xml:space="preserve">which provides corporate support services to the </w:t>
      </w:r>
      <w:r w:rsidR="006D7103">
        <w:t>entity</w:t>
      </w:r>
      <w:r>
        <w:t xml:space="preserve">. The value of these services received is recognised as income and as an expense in the statement of comprehensive income. </w:t>
      </w:r>
    </w:p>
    <w:p w14:paraId="022747B5" w14:textId="55ECCA2F" w:rsidR="000C53FF" w:rsidRPr="00662315" w:rsidRDefault="000C53FF" w:rsidP="00B2476D">
      <w:pPr>
        <w:ind w:left="-142"/>
      </w:pPr>
      <w:r w:rsidRPr="00662315">
        <w:t xml:space="preserve">For </w:t>
      </w:r>
      <w:r>
        <w:t>2017-18</w:t>
      </w:r>
      <w:r w:rsidRPr="00662315">
        <w:t>, the Office received income from continuing operations of $4.</w:t>
      </w:r>
      <w:r>
        <w:t>9</w:t>
      </w:r>
      <w:r w:rsidR="00DB4D8F">
        <w:t>25</w:t>
      </w:r>
      <w:r>
        <w:t xml:space="preserve"> </w:t>
      </w:r>
      <w:r w:rsidRPr="00662315">
        <w:t>million and incurred total expenditure from continuing operations of $4.</w:t>
      </w:r>
      <w:r>
        <w:t>92</w:t>
      </w:r>
      <w:r w:rsidR="00DB4D8F">
        <w:t>3</w:t>
      </w:r>
      <w:r w:rsidRPr="00662315">
        <w:t xml:space="preserve"> million. This was comprised predominantly of:</w:t>
      </w:r>
    </w:p>
    <w:p w14:paraId="37F69C95" w14:textId="77777777" w:rsidR="000C53FF" w:rsidRPr="00662315" w:rsidRDefault="000C53FF" w:rsidP="00CC57BB">
      <w:pPr>
        <w:ind w:hanging="142"/>
        <w:rPr>
          <w:b/>
        </w:rPr>
      </w:pPr>
      <w:r w:rsidRPr="00662315">
        <w:rPr>
          <w:b/>
        </w:rPr>
        <w:t>Income</w:t>
      </w:r>
    </w:p>
    <w:p w14:paraId="0AE1D1F5" w14:textId="77777777" w:rsidR="000C53FF" w:rsidRPr="00662315" w:rsidRDefault="000C53FF" w:rsidP="0017125F">
      <w:pPr>
        <w:numPr>
          <w:ilvl w:val="0"/>
          <w:numId w:val="24"/>
        </w:numPr>
        <w:ind w:hanging="502"/>
      </w:pPr>
      <w:r w:rsidRPr="00662315">
        <w:t>appropriation revenue $</w:t>
      </w:r>
      <w:r>
        <w:t>4.22</w:t>
      </w:r>
      <w:r w:rsidRPr="00662315">
        <w:t xml:space="preserve"> million </w:t>
      </w:r>
    </w:p>
    <w:p w14:paraId="1440559C" w14:textId="77777777" w:rsidR="000C53FF" w:rsidRPr="00662315" w:rsidRDefault="000C53FF" w:rsidP="0017125F">
      <w:pPr>
        <w:numPr>
          <w:ilvl w:val="0"/>
          <w:numId w:val="24"/>
        </w:numPr>
        <w:ind w:hanging="502"/>
      </w:pPr>
      <w:r w:rsidRPr="00662315">
        <w:t>services received below fair value $0.</w:t>
      </w:r>
      <w:r>
        <w:t>71</w:t>
      </w:r>
      <w:r w:rsidRPr="00662315">
        <w:t xml:space="preserve"> million</w:t>
      </w:r>
      <w:r w:rsidR="00B2476D">
        <w:t>.</w:t>
      </w:r>
    </w:p>
    <w:p w14:paraId="0320FE98" w14:textId="77777777" w:rsidR="000C53FF" w:rsidRPr="00662315" w:rsidRDefault="000C53FF" w:rsidP="00CC57BB">
      <w:pPr>
        <w:ind w:hanging="142"/>
        <w:rPr>
          <w:b/>
        </w:rPr>
      </w:pPr>
      <w:r w:rsidRPr="00662315">
        <w:rPr>
          <w:b/>
        </w:rPr>
        <w:t>Expenses</w:t>
      </w:r>
    </w:p>
    <w:p w14:paraId="23D3B42F" w14:textId="77777777" w:rsidR="000C53FF" w:rsidRPr="00662315" w:rsidRDefault="000C53FF" w:rsidP="0017125F">
      <w:pPr>
        <w:numPr>
          <w:ilvl w:val="0"/>
          <w:numId w:val="24"/>
        </w:numPr>
        <w:ind w:hanging="502"/>
      </w:pPr>
      <w:r w:rsidRPr="00662315">
        <w:t>employee expenses $2.</w:t>
      </w:r>
      <w:r>
        <w:t>90</w:t>
      </w:r>
      <w:r w:rsidRPr="00662315">
        <w:t xml:space="preserve"> million</w:t>
      </w:r>
    </w:p>
    <w:p w14:paraId="0BB433F0" w14:textId="77777777" w:rsidR="000C53FF" w:rsidRDefault="000C53FF" w:rsidP="0017125F">
      <w:pPr>
        <w:numPr>
          <w:ilvl w:val="0"/>
          <w:numId w:val="24"/>
        </w:numPr>
        <w:ind w:hanging="502"/>
      </w:pPr>
      <w:r w:rsidRPr="00662315">
        <w:t>supplies and services $1.</w:t>
      </w:r>
      <w:r>
        <w:t>10</w:t>
      </w:r>
      <w:r w:rsidRPr="00662315">
        <w:t xml:space="preserve"> million</w:t>
      </w:r>
    </w:p>
    <w:p w14:paraId="1B3945E5" w14:textId="77777777" w:rsidR="000C53FF" w:rsidRPr="00662315" w:rsidRDefault="000C53FF" w:rsidP="0017125F">
      <w:pPr>
        <w:numPr>
          <w:ilvl w:val="0"/>
          <w:numId w:val="24"/>
        </w:numPr>
        <w:ind w:hanging="502"/>
      </w:pPr>
      <w:r>
        <w:t>grants and subsidies $0.03 million</w:t>
      </w:r>
    </w:p>
    <w:p w14:paraId="7F3B3582" w14:textId="77777777" w:rsidR="000C53FF" w:rsidRPr="00662315" w:rsidRDefault="000C53FF" w:rsidP="0017125F">
      <w:pPr>
        <w:numPr>
          <w:ilvl w:val="0"/>
          <w:numId w:val="24"/>
        </w:numPr>
        <w:ind w:hanging="502"/>
      </w:pPr>
      <w:r w:rsidRPr="00662315">
        <w:t>other expenses $0.</w:t>
      </w:r>
      <w:r>
        <w:t>90</w:t>
      </w:r>
      <w:r w:rsidRPr="00662315">
        <w:t xml:space="preserve"> million.</w:t>
      </w:r>
    </w:p>
    <w:p w14:paraId="1D80BBD5" w14:textId="77777777" w:rsidR="000C53FF" w:rsidRDefault="000C53FF" w:rsidP="00CC57BB">
      <w:pPr>
        <w:jc w:val="both"/>
      </w:pPr>
    </w:p>
    <w:p w14:paraId="6EB29ABD" w14:textId="77777777" w:rsidR="000C53FF" w:rsidRPr="00341581" w:rsidRDefault="00AA4F42" w:rsidP="003463C9">
      <w:pPr>
        <w:pStyle w:val="Heading2"/>
      </w:pPr>
      <w:bookmarkStart w:id="30" w:name="_Toc524519407"/>
      <w:bookmarkStart w:id="31" w:name="_Toc460406677"/>
      <w:bookmarkStart w:id="32" w:name="_Toc460406827"/>
      <w:bookmarkStart w:id="33" w:name="_Toc460406863"/>
      <w:bookmarkStart w:id="34" w:name="_Toc460406942"/>
      <w:bookmarkStart w:id="35" w:name="_Toc460407056"/>
      <w:bookmarkStart w:id="36" w:name="_Toc492622952"/>
      <w:bookmarkStart w:id="37" w:name="_Toc522266461"/>
      <w:r>
        <w:lastRenderedPageBreak/>
        <w:t>Summary of financial posit</w:t>
      </w:r>
      <w:r w:rsidR="007846D5">
        <w:t>i</w:t>
      </w:r>
      <w:r>
        <w:t>on</w:t>
      </w:r>
      <w:bookmarkEnd w:id="30"/>
      <w:r>
        <w:t xml:space="preserve"> </w:t>
      </w:r>
      <w:bookmarkEnd w:id="31"/>
      <w:bookmarkEnd w:id="32"/>
      <w:bookmarkEnd w:id="33"/>
      <w:bookmarkEnd w:id="34"/>
      <w:bookmarkEnd w:id="35"/>
      <w:bookmarkEnd w:id="36"/>
      <w:bookmarkEnd w:id="37"/>
    </w:p>
    <w:p w14:paraId="54E745FC" w14:textId="77777777" w:rsidR="000C53FF" w:rsidRPr="00662315" w:rsidRDefault="000C53FF" w:rsidP="00B2476D">
      <w:pPr>
        <w:ind w:left="-142"/>
      </w:pPr>
      <w:r w:rsidRPr="00662315">
        <w:t xml:space="preserve">The Office was in a positive financial position at the end of the financial year. The total equity/net assets of the Office at the end of </w:t>
      </w:r>
      <w:r>
        <w:t xml:space="preserve">2017-18 was $1.16 </w:t>
      </w:r>
      <w:r w:rsidRPr="00662315">
        <w:t>million. This was comprised of:</w:t>
      </w:r>
    </w:p>
    <w:p w14:paraId="4774C22B" w14:textId="77777777" w:rsidR="000C53FF" w:rsidRPr="00662315" w:rsidRDefault="000C53FF" w:rsidP="00CC57BB">
      <w:pPr>
        <w:ind w:hanging="142"/>
        <w:rPr>
          <w:b/>
        </w:rPr>
      </w:pPr>
      <w:r w:rsidRPr="00662315">
        <w:rPr>
          <w:b/>
        </w:rPr>
        <w:t>Assets</w:t>
      </w:r>
    </w:p>
    <w:p w14:paraId="6549BB7E" w14:textId="77777777" w:rsidR="000C53FF" w:rsidRPr="00662315" w:rsidRDefault="000C53FF" w:rsidP="0017125F">
      <w:pPr>
        <w:numPr>
          <w:ilvl w:val="0"/>
          <w:numId w:val="24"/>
        </w:numPr>
        <w:ind w:hanging="502"/>
      </w:pPr>
      <w:r w:rsidRPr="00662315">
        <w:t>cash and cash equivalents $1.5</w:t>
      </w:r>
      <w:r>
        <w:t>4</w:t>
      </w:r>
      <w:r w:rsidRPr="00662315">
        <w:t xml:space="preserve"> million</w:t>
      </w:r>
    </w:p>
    <w:p w14:paraId="58AAC2BD" w14:textId="77777777" w:rsidR="000C53FF" w:rsidRDefault="000C53FF" w:rsidP="0017125F">
      <w:pPr>
        <w:numPr>
          <w:ilvl w:val="0"/>
          <w:numId w:val="24"/>
        </w:numPr>
        <w:ind w:hanging="502"/>
      </w:pPr>
      <w:r w:rsidRPr="00662315">
        <w:t>receivables $0.05 million</w:t>
      </w:r>
    </w:p>
    <w:p w14:paraId="29FDB111" w14:textId="77777777" w:rsidR="000C53FF" w:rsidRPr="00662315" w:rsidRDefault="000C53FF" w:rsidP="0017125F">
      <w:pPr>
        <w:numPr>
          <w:ilvl w:val="0"/>
          <w:numId w:val="24"/>
        </w:numPr>
        <w:ind w:hanging="502"/>
      </w:pPr>
      <w:r>
        <w:t>plant and equipment $0.007 million</w:t>
      </w:r>
      <w:r w:rsidR="00B2476D">
        <w:t>.</w:t>
      </w:r>
    </w:p>
    <w:p w14:paraId="047E9BF1" w14:textId="77777777" w:rsidR="000C53FF" w:rsidRPr="00662315" w:rsidRDefault="000C53FF" w:rsidP="00CC57BB">
      <w:pPr>
        <w:ind w:hanging="142"/>
        <w:rPr>
          <w:b/>
        </w:rPr>
      </w:pPr>
      <w:r w:rsidRPr="00662315">
        <w:rPr>
          <w:b/>
        </w:rPr>
        <w:t>Liabilities</w:t>
      </w:r>
    </w:p>
    <w:p w14:paraId="083119F6" w14:textId="77777777" w:rsidR="000C53FF" w:rsidRPr="00662315" w:rsidRDefault="000C53FF" w:rsidP="0017125F">
      <w:pPr>
        <w:numPr>
          <w:ilvl w:val="0"/>
          <w:numId w:val="24"/>
        </w:numPr>
        <w:ind w:hanging="502"/>
      </w:pPr>
      <w:r w:rsidRPr="00662315">
        <w:t>payables $0.</w:t>
      </w:r>
      <w:r>
        <w:t>16</w:t>
      </w:r>
      <w:r w:rsidRPr="00662315">
        <w:t xml:space="preserve"> million</w:t>
      </w:r>
    </w:p>
    <w:p w14:paraId="5EBDA8B0" w14:textId="77777777" w:rsidR="000C53FF" w:rsidRPr="00662315" w:rsidRDefault="000C53FF" w:rsidP="0017125F">
      <w:pPr>
        <w:numPr>
          <w:ilvl w:val="0"/>
          <w:numId w:val="24"/>
        </w:numPr>
        <w:ind w:hanging="502"/>
      </w:pPr>
      <w:r w:rsidRPr="00662315">
        <w:t>accrued employee benefits $0.1</w:t>
      </w:r>
      <w:r>
        <w:t>2</w:t>
      </w:r>
      <w:r w:rsidRPr="00662315">
        <w:t xml:space="preserve"> million</w:t>
      </w:r>
    </w:p>
    <w:p w14:paraId="2CFD5C3A" w14:textId="77777777" w:rsidR="000C53FF" w:rsidRPr="00662315" w:rsidRDefault="000C53FF" w:rsidP="0017125F">
      <w:pPr>
        <w:numPr>
          <w:ilvl w:val="0"/>
          <w:numId w:val="24"/>
        </w:numPr>
        <w:ind w:hanging="502"/>
      </w:pPr>
      <w:r>
        <w:t>other current liabilities $0.16 million.</w:t>
      </w:r>
    </w:p>
    <w:p w14:paraId="0EC7F351" w14:textId="77777777" w:rsidR="000C53FF" w:rsidRPr="00662315" w:rsidRDefault="000C53FF" w:rsidP="00CC57BB">
      <w:pPr>
        <w:ind w:left="-142"/>
      </w:pPr>
      <w:r w:rsidRPr="00662315">
        <w:t xml:space="preserve">There were no significant events after balance date that could be expected to impact the </w:t>
      </w:r>
      <w:r w:rsidR="00B2476D">
        <w:t xml:space="preserve">reported </w:t>
      </w:r>
      <w:r w:rsidRPr="00662315">
        <w:t xml:space="preserve">operating result for the Office for </w:t>
      </w:r>
      <w:r w:rsidR="00E06A6B">
        <w:t>the year ended 30 June 2018</w:t>
      </w:r>
      <w:r w:rsidRPr="00662315">
        <w:t>.</w:t>
      </w:r>
    </w:p>
    <w:p w14:paraId="27CE2087" w14:textId="77777777" w:rsidR="000C53FF" w:rsidRPr="006C443A" w:rsidRDefault="000C53FF" w:rsidP="000C53FF"/>
    <w:p w14:paraId="29C29411" w14:textId="77777777" w:rsidR="000C53FF" w:rsidRDefault="000C53FF" w:rsidP="000C53FF"/>
    <w:p w14:paraId="28B70C6B" w14:textId="77777777" w:rsidR="000C53FF" w:rsidRDefault="000C53FF" w:rsidP="007F0709"/>
    <w:p w14:paraId="11644036" w14:textId="77777777" w:rsidR="007F0709" w:rsidRDefault="007F0709" w:rsidP="007F0709"/>
    <w:p w14:paraId="4E001B34" w14:textId="77777777" w:rsidR="007F0709" w:rsidRPr="007F0709" w:rsidRDefault="007F0709" w:rsidP="007F0709"/>
    <w:p w14:paraId="75206D95" w14:textId="77777777" w:rsidR="00405941" w:rsidRPr="00A127A1" w:rsidRDefault="00405941" w:rsidP="00091676">
      <w:pPr>
        <w:rPr>
          <w:rFonts w:eastAsia="Calibri"/>
          <w:szCs w:val="22"/>
        </w:rPr>
      </w:pPr>
    </w:p>
    <w:p w14:paraId="7818E935" w14:textId="77777777" w:rsidR="00405941" w:rsidRPr="00A127A1" w:rsidRDefault="00405941" w:rsidP="00091676">
      <w:r w:rsidRPr="00A127A1">
        <w:br w:type="page"/>
      </w:r>
    </w:p>
    <w:bookmarkStart w:id="38" w:name="_Toc441671808"/>
    <w:bookmarkStart w:id="39" w:name="_Toc441672096"/>
    <w:bookmarkStart w:id="40" w:name="_Toc442168883"/>
    <w:bookmarkStart w:id="41" w:name="_Toc442339179"/>
    <w:bookmarkStart w:id="42" w:name="_Toc522266462"/>
    <w:bookmarkStart w:id="43" w:name="_Toc524519408"/>
    <w:p w14:paraId="6EB78EA9" w14:textId="77777777" w:rsidR="00405941" w:rsidRPr="00341581" w:rsidRDefault="007F17C1" w:rsidP="00986792">
      <w:pPr>
        <w:pStyle w:val="Heading1"/>
        <w:spacing w:after="120"/>
        <w:ind w:left="0" w:right="79"/>
      </w:pPr>
      <w:r>
        <w:rPr>
          <w:noProof/>
          <w:lang w:eastAsia="en-AU"/>
        </w:rPr>
        <w:lastRenderedPageBreak/>
        <mc:AlternateContent>
          <mc:Choice Requires="wps">
            <w:drawing>
              <wp:anchor distT="0" distB="0" distL="114300" distR="114300" simplePos="0" relativeHeight="251658240" behindDoc="0" locked="0" layoutInCell="1" allowOverlap="1" wp14:anchorId="59B335A1" wp14:editId="4B1D3BA0">
                <wp:simplePos x="0" y="0"/>
                <wp:positionH relativeFrom="column">
                  <wp:posOffset>12069445</wp:posOffset>
                </wp:positionH>
                <wp:positionV relativeFrom="paragraph">
                  <wp:posOffset>-843915</wp:posOffset>
                </wp:positionV>
                <wp:extent cx="0" cy="8912225"/>
                <wp:effectExtent l="0" t="0" r="19050" b="22225"/>
                <wp:wrapNone/>
                <wp:docPr id="15" name="Straight Connector 15"/>
                <wp:cNvGraphicFramePr/>
                <a:graphic xmlns:a="http://schemas.openxmlformats.org/drawingml/2006/main">
                  <a:graphicData uri="http://schemas.microsoft.com/office/word/2010/wordprocessingShape">
                    <wps:wsp>
                      <wps:cNvCnPr/>
                      <wps:spPr>
                        <a:xfrm>
                          <a:off x="0" y="0"/>
                          <a:ext cx="0" cy="89122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DE7864E" id="Straight Connector 15" o:spid="_x0000_s1026" style="position:absolute;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50.35pt,-66.45pt" to="950.35pt,6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" strokecolor="black [3044]"/>
            </w:pict>
          </mc:Fallback>
        </mc:AlternateContent>
      </w:r>
      <w:r w:rsidR="00405941" w:rsidRPr="00341581">
        <w:t>P</w:t>
      </w:r>
      <w:r w:rsidR="00B2375C">
        <w:t>erformance</w:t>
      </w:r>
      <w:bookmarkEnd w:id="38"/>
      <w:bookmarkEnd w:id="39"/>
      <w:bookmarkEnd w:id="40"/>
      <w:bookmarkEnd w:id="41"/>
      <w:bookmarkEnd w:id="42"/>
      <w:bookmarkEnd w:id="43"/>
      <w:r w:rsidR="00405941" w:rsidRPr="00341581">
        <w:t xml:space="preserve"> </w:t>
      </w:r>
    </w:p>
    <w:p w14:paraId="12E8E5B4" w14:textId="77777777" w:rsidR="00AA4F42" w:rsidRDefault="00AA4F42" w:rsidP="00BE328A">
      <w:pPr>
        <w:pStyle w:val="Heading2"/>
      </w:pPr>
      <w:bookmarkStart w:id="44" w:name="_Toc524519409"/>
      <w:bookmarkStart w:id="45" w:name="_Toc441671811"/>
      <w:bookmarkStart w:id="46" w:name="_Toc441672099"/>
      <w:bookmarkStart w:id="47" w:name="_Toc442168886"/>
      <w:r>
        <w:t>Key performance measures</w:t>
      </w:r>
      <w:bookmarkEnd w:id="44"/>
      <w:r>
        <w:t xml:space="preserve"> </w:t>
      </w:r>
    </w:p>
    <w:p w14:paraId="0BC0EB0F" w14:textId="62B674A6" w:rsidR="00EC1A80" w:rsidRDefault="00BF45EB" w:rsidP="00607589">
      <w:pPr>
        <w:ind w:left="-142"/>
      </w:pPr>
      <w:r>
        <w:t xml:space="preserve">The Service Delivery Statement 2017-18 describes the Office’s </w:t>
      </w:r>
      <w:r w:rsidR="00607589">
        <w:t>service area</w:t>
      </w:r>
      <w:r>
        <w:t xml:space="preserve"> as</w:t>
      </w:r>
      <w:r w:rsidR="00607589">
        <w:t xml:space="preserve"> ‘Independent Assurance and Advice to Improve Emergency Management’</w:t>
      </w:r>
      <w:r>
        <w:t>.</w:t>
      </w:r>
      <w:r w:rsidR="007E0ABA">
        <w:t xml:space="preserve">  </w:t>
      </w:r>
    </w:p>
    <w:p w14:paraId="03064890" w14:textId="77777777" w:rsidR="00607589" w:rsidRDefault="00607589" w:rsidP="00607589">
      <w:pPr>
        <w:ind w:left="-142"/>
      </w:pPr>
      <w:r>
        <w:t>The Office provides independent assurance and advice about Queensland's emergency management arrangements and authoritative reporting to enhance accountability and improve outcomes for the community.</w:t>
      </w:r>
    </w:p>
    <w:p w14:paraId="231A72F0" w14:textId="77777777" w:rsidR="00607589" w:rsidRDefault="00607589" w:rsidP="00607589">
      <w:pPr>
        <w:ind w:left="-142"/>
      </w:pPr>
      <w:r>
        <w:t>The Office undertakes a range of assurance activities and system analysis to identify risks to emergency management planning, preparedness, response and recovery arrangements and recommends evidence-based improvements. The most robust assurance activity is a tier three review that has significant depth and rigour and provides a higher level of confidence in the disaster management matter being assessed.</w:t>
      </w:r>
    </w:p>
    <w:p w14:paraId="48B824A0" w14:textId="77777777" w:rsidR="00607589" w:rsidRDefault="00607589" w:rsidP="00607589">
      <w:pPr>
        <w:ind w:left="-142"/>
      </w:pPr>
      <w:r>
        <w:t>The table below provides an overview of the key performance measures for the Office for 2017-18.</w:t>
      </w:r>
      <w:r w:rsidR="007C2EE0">
        <w:t xml:space="preserve"> </w:t>
      </w:r>
    </w:p>
    <w:tbl>
      <w:tblPr>
        <w:tblW w:w="10206" w:type="dxa"/>
        <w:tblInd w:w="-14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CellMar>
          <w:left w:w="0" w:type="dxa"/>
          <w:right w:w="0" w:type="dxa"/>
        </w:tblCellMar>
        <w:tblLook w:val="01E0" w:firstRow="1" w:lastRow="1" w:firstColumn="1" w:lastColumn="1" w:noHBand="0" w:noVBand="0"/>
      </w:tblPr>
      <w:tblGrid>
        <w:gridCol w:w="3686"/>
        <w:gridCol w:w="851"/>
        <w:gridCol w:w="1133"/>
        <w:gridCol w:w="993"/>
        <w:gridCol w:w="1133"/>
        <w:gridCol w:w="1276"/>
        <w:gridCol w:w="1134"/>
      </w:tblGrid>
      <w:tr w:rsidR="0077095E" w:rsidRPr="00515807" w14:paraId="567CDB5C" w14:textId="77777777" w:rsidTr="00E86736">
        <w:trPr>
          <w:trHeight w:hRule="exact" w:val="500"/>
        </w:trPr>
        <w:tc>
          <w:tcPr>
            <w:tcW w:w="10206" w:type="dxa"/>
            <w:gridSpan w:val="7"/>
            <w:shd w:val="clear" w:color="auto" w:fill="AB054C"/>
          </w:tcPr>
          <w:p w14:paraId="5B61EAE3" w14:textId="77777777" w:rsidR="0077095E" w:rsidRPr="00515807" w:rsidRDefault="00527E5F" w:rsidP="00E86736">
            <w:pPr>
              <w:widowControl w:val="0"/>
              <w:spacing w:line="248" w:lineRule="exact"/>
              <w:rPr>
                <w:rFonts w:eastAsia="Calibri" w:hAnsi="Calibri" w:cs="Times New Roman"/>
                <w:b/>
                <w:color w:val="FFFFFF"/>
              </w:rPr>
            </w:pPr>
            <w:r>
              <w:rPr>
                <w:rFonts w:eastAsia="Calibri" w:hAnsi="Calibri" w:cs="Times New Roman"/>
                <w:b/>
                <w:color w:val="FFFFFF"/>
              </w:rPr>
              <w:t xml:space="preserve"> </w:t>
            </w:r>
            <w:r w:rsidR="0077095E" w:rsidRPr="00515807">
              <w:rPr>
                <w:rFonts w:eastAsia="Calibri" w:hAnsi="Calibri" w:cs="Times New Roman"/>
                <w:b/>
                <w:color w:val="FFFFFF"/>
              </w:rPr>
              <w:t>Service Area: Independent Assurance and Advice to Improve Emergency Management</w:t>
            </w:r>
          </w:p>
        </w:tc>
      </w:tr>
      <w:tr w:rsidR="0077095E" w:rsidRPr="00515807" w14:paraId="5961685B" w14:textId="77777777" w:rsidTr="00E86736">
        <w:trPr>
          <w:trHeight w:hRule="exact" w:val="1070"/>
        </w:trPr>
        <w:tc>
          <w:tcPr>
            <w:tcW w:w="3686" w:type="dxa"/>
            <w:shd w:val="clear" w:color="auto" w:fill="AB054C"/>
          </w:tcPr>
          <w:p w14:paraId="0EF82A8C" w14:textId="77777777" w:rsidR="0077095E" w:rsidRPr="00515807" w:rsidRDefault="00BE328A" w:rsidP="00E86736">
            <w:pPr>
              <w:widowControl w:val="0"/>
              <w:spacing w:after="0" w:line="248" w:lineRule="exact"/>
              <w:ind w:left="103"/>
              <w:rPr>
                <w:rFonts w:eastAsia="Arial"/>
                <w:color w:val="FFFFFF"/>
              </w:rPr>
            </w:pPr>
            <w:r>
              <w:rPr>
                <w:rFonts w:eastAsia="Calibri" w:hAnsi="Calibri" w:cs="Times New Roman"/>
                <w:b/>
                <w:color w:val="FFFFFF"/>
              </w:rPr>
              <w:t>Performance measures</w:t>
            </w:r>
          </w:p>
        </w:tc>
        <w:tc>
          <w:tcPr>
            <w:tcW w:w="851" w:type="dxa"/>
            <w:shd w:val="clear" w:color="auto" w:fill="AB054C"/>
          </w:tcPr>
          <w:p w14:paraId="6184F355" w14:textId="77777777" w:rsidR="0077095E" w:rsidRPr="00E86736" w:rsidRDefault="0077095E" w:rsidP="00E86736">
            <w:pPr>
              <w:widowControl w:val="0"/>
              <w:spacing w:after="0" w:line="248" w:lineRule="exact"/>
              <w:ind w:left="103"/>
              <w:rPr>
                <w:rFonts w:eastAsia="Arial"/>
                <w:color w:val="FFFFFF"/>
                <w:sz w:val="20"/>
              </w:rPr>
            </w:pPr>
            <w:r w:rsidRPr="00E86736">
              <w:rPr>
                <w:rFonts w:eastAsia="Calibri" w:hAnsi="Calibri" w:cs="Times New Roman"/>
                <w:b/>
                <w:color w:val="FFFFFF"/>
                <w:sz w:val="20"/>
              </w:rPr>
              <w:t>Notes</w:t>
            </w:r>
          </w:p>
        </w:tc>
        <w:tc>
          <w:tcPr>
            <w:tcW w:w="1133" w:type="dxa"/>
            <w:shd w:val="clear" w:color="auto" w:fill="AB054C"/>
          </w:tcPr>
          <w:p w14:paraId="4477DFBE" w14:textId="77777777" w:rsidR="0077095E" w:rsidRPr="00E86736" w:rsidRDefault="0077095E" w:rsidP="00E86736">
            <w:pPr>
              <w:widowControl w:val="0"/>
              <w:spacing w:after="0" w:line="247" w:lineRule="auto"/>
              <w:ind w:left="359" w:right="120" w:hanging="238"/>
              <w:jc w:val="center"/>
              <w:rPr>
                <w:rFonts w:eastAsia="Calibri" w:hAnsi="Calibri" w:cs="Times New Roman"/>
                <w:b/>
                <w:color w:val="FFFFFF"/>
                <w:sz w:val="20"/>
              </w:rPr>
            </w:pPr>
            <w:r w:rsidRPr="00E86736">
              <w:rPr>
                <w:rFonts w:eastAsia="Calibri" w:hAnsi="Calibri" w:cs="Times New Roman"/>
                <w:b/>
                <w:color w:val="FFFFFF"/>
                <w:sz w:val="20"/>
              </w:rPr>
              <w:t>Strategic</w:t>
            </w:r>
          </w:p>
          <w:p w14:paraId="45CF4A06" w14:textId="77777777" w:rsidR="0077095E" w:rsidRPr="00E86736" w:rsidRDefault="0077095E" w:rsidP="00E86736">
            <w:pPr>
              <w:widowControl w:val="0"/>
              <w:spacing w:after="0" w:line="247" w:lineRule="auto"/>
              <w:ind w:left="359" w:right="120" w:hanging="238"/>
              <w:jc w:val="center"/>
              <w:rPr>
                <w:rFonts w:eastAsia="Arial"/>
                <w:color w:val="FFFFFF"/>
                <w:sz w:val="20"/>
              </w:rPr>
            </w:pPr>
            <w:r w:rsidRPr="00E86736">
              <w:rPr>
                <w:rFonts w:eastAsia="Calibri" w:hAnsi="Calibri" w:cs="Times New Roman"/>
                <w:b/>
                <w:color w:val="FFFFFF"/>
                <w:sz w:val="20"/>
              </w:rPr>
              <w:t>Plan</w:t>
            </w:r>
          </w:p>
        </w:tc>
        <w:tc>
          <w:tcPr>
            <w:tcW w:w="993" w:type="dxa"/>
            <w:shd w:val="clear" w:color="auto" w:fill="AB054C"/>
          </w:tcPr>
          <w:p w14:paraId="3C57A564" w14:textId="77777777" w:rsidR="0077095E" w:rsidRPr="00E86736" w:rsidRDefault="0077095E" w:rsidP="00E86736">
            <w:pPr>
              <w:widowControl w:val="0"/>
              <w:spacing w:after="0"/>
              <w:jc w:val="center"/>
              <w:rPr>
                <w:rFonts w:eastAsia="Arial"/>
                <w:color w:val="FFFFFF"/>
                <w:sz w:val="20"/>
              </w:rPr>
            </w:pPr>
            <w:r w:rsidRPr="00E86736">
              <w:rPr>
                <w:rFonts w:eastAsia="Calibri" w:hAnsi="Calibri" w:cs="Times New Roman"/>
                <w:b/>
                <w:color w:val="FFFFFF"/>
                <w:sz w:val="20"/>
              </w:rPr>
              <w:t>201</w:t>
            </w:r>
            <w:r w:rsidR="00AB05E1">
              <w:rPr>
                <w:rFonts w:eastAsia="Calibri" w:hAnsi="Calibri" w:cs="Times New Roman"/>
                <w:b/>
                <w:color w:val="FFFFFF"/>
                <w:sz w:val="20"/>
              </w:rPr>
              <w:t>7</w:t>
            </w:r>
            <w:r w:rsidRPr="00E86736">
              <w:rPr>
                <w:rFonts w:eastAsia="Calibri" w:hAnsi="Calibri" w:cs="Times New Roman"/>
                <w:b/>
                <w:color w:val="FFFFFF"/>
                <w:sz w:val="20"/>
              </w:rPr>
              <w:t>-1</w:t>
            </w:r>
            <w:r w:rsidR="00AB05E1">
              <w:rPr>
                <w:rFonts w:eastAsia="Calibri" w:hAnsi="Calibri" w:cs="Times New Roman"/>
                <w:b/>
                <w:color w:val="FFFFFF"/>
                <w:sz w:val="20"/>
              </w:rPr>
              <w:t>8</w:t>
            </w:r>
          </w:p>
          <w:p w14:paraId="0970C5AC" w14:textId="77777777" w:rsidR="0077095E" w:rsidRPr="00E86736" w:rsidRDefault="0077095E" w:rsidP="00E86736">
            <w:pPr>
              <w:widowControl w:val="0"/>
              <w:spacing w:after="0"/>
              <w:jc w:val="center"/>
              <w:rPr>
                <w:rFonts w:eastAsia="Arial"/>
                <w:color w:val="FFFFFF"/>
                <w:sz w:val="20"/>
              </w:rPr>
            </w:pPr>
            <w:r w:rsidRPr="00E86736">
              <w:rPr>
                <w:rFonts w:eastAsia="Calibri" w:hAnsi="Calibri" w:cs="Times New Roman"/>
                <w:b/>
                <w:color w:val="FFFFFF"/>
                <w:sz w:val="20"/>
              </w:rPr>
              <w:t>SDS</w:t>
            </w:r>
          </w:p>
        </w:tc>
        <w:tc>
          <w:tcPr>
            <w:tcW w:w="1133" w:type="dxa"/>
            <w:shd w:val="clear" w:color="auto" w:fill="AB054C"/>
          </w:tcPr>
          <w:p w14:paraId="465C10E1" w14:textId="77777777" w:rsidR="0077095E" w:rsidRPr="00E86736" w:rsidRDefault="0077095E" w:rsidP="00E86736">
            <w:pPr>
              <w:widowControl w:val="0"/>
              <w:spacing w:after="0" w:line="248" w:lineRule="exact"/>
              <w:jc w:val="center"/>
              <w:rPr>
                <w:rFonts w:eastAsia="Arial"/>
                <w:color w:val="FFFFFF"/>
                <w:sz w:val="20"/>
              </w:rPr>
            </w:pPr>
            <w:r w:rsidRPr="00E86736">
              <w:rPr>
                <w:rFonts w:eastAsia="Calibri" w:hAnsi="Calibri" w:cs="Times New Roman"/>
                <w:b/>
                <w:color w:val="FFFFFF"/>
                <w:sz w:val="20"/>
              </w:rPr>
              <w:t>201</w:t>
            </w:r>
            <w:r w:rsidR="00D17E92" w:rsidRPr="00E86736">
              <w:rPr>
                <w:rFonts w:eastAsia="Calibri" w:hAnsi="Calibri" w:cs="Times New Roman"/>
                <w:b/>
                <w:color w:val="FFFFFF"/>
                <w:sz w:val="20"/>
              </w:rPr>
              <w:t>6</w:t>
            </w:r>
            <w:r w:rsidRPr="00E86736">
              <w:rPr>
                <w:rFonts w:eastAsia="Calibri" w:hAnsi="Calibri" w:cs="Times New Roman"/>
                <w:b/>
                <w:color w:val="FFFFFF"/>
                <w:sz w:val="20"/>
              </w:rPr>
              <w:t>-1</w:t>
            </w:r>
            <w:r w:rsidR="00D17E92" w:rsidRPr="00E86736">
              <w:rPr>
                <w:rFonts w:eastAsia="Calibri" w:hAnsi="Calibri" w:cs="Times New Roman"/>
                <w:b/>
                <w:color w:val="FFFFFF"/>
                <w:sz w:val="20"/>
              </w:rPr>
              <w:t>7</w:t>
            </w:r>
          </w:p>
          <w:p w14:paraId="550066D2" w14:textId="77777777" w:rsidR="0077095E" w:rsidRPr="00E86736" w:rsidRDefault="0077095E" w:rsidP="00E86736">
            <w:pPr>
              <w:widowControl w:val="0"/>
              <w:spacing w:after="0" w:line="248" w:lineRule="exact"/>
              <w:jc w:val="center"/>
              <w:rPr>
                <w:rFonts w:eastAsia="Calibri" w:hAnsi="Calibri" w:cs="Times New Roman"/>
                <w:b/>
                <w:color w:val="FFFFFF"/>
                <w:sz w:val="20"/>
              </w:rPr>
            </w:pPr>
            <w:r w:rsidRPr="00E86736">
              <w:rPr>
                <w:rFonts w:eastAsia="Calibri" w:hAnsi="Calibri" w:cs="Times New Roman"/>
                <w:b/>
                <w:color w:val="FFFFFF"/>
                <w:sz w:val="20"/>
              </w:rPr>
              <w:t>Actual</w:t>
            </w:r>
          </w:p>
        </w:tc>
        <w:tc>
          <w:tcPr>
            <w:tcW w:w="1276" w:type="dxa"/>
            <w:shd w:val="clear" w:color="auto" w:fill="AB054C"/>
          </w:tcPr>
          <w:p w14:paraId="0B757363" w14:textId="77777777" w:rsidR="0077095E" w:rsidRPr="00E86736" w:rsidRDefault="0077095E" w:rsidP="00E86736">
            <w:pPr>
              <w:widowControl w:val="0"/>
              <w:spacing w:after="0"/>
              <w:jc w:val="center"/>
              <w:rPr>
                <w:rFonts w:eastAsia="Arial"/>
                <w:color w:val="FFFFFF"/>
                <w:sz w:val="20"/>
              </w:rPr>
            </w:pPr>
            <w:r w:rsidRPr="00E86736">
              <w:rPr>
                <w:rFonts w:eastAsia="Calibri" w:hAnsi="Calibri" w:cs="Times New Roman"/>
                <w:b/>
                <w:color w:val="FFFFFF"/>
                <w:sz w:val="20"/>
              </w:rPr>
              <w:t>2017-18</w:t>
            </w:r>
            <w:r w:rsidRPr="00E86736">
              <w:rPr>
                <w:rFonts w:eastAsia="Arial"/>
                <w:color w:val="FFFFFF"/>
                <w:sz w:val="20"/>
              </w:rPr>
              <w:t xml:space="preserve"> </w:t>
            </w:r>
            <w:r w:rsidRPr="00E86736">
              <w:rPr>
                <w:rFonts w:eastAsia="Calibri" w:hAnsi="Calibri" w:cs="Times New Roman"/>
                <w:b/>
                <w:color w:val="FFFFFF"/>
                <w:sz w:val="20"/>
              </w:rPr>
              <w:t>Target/ Estimate</w:t>
            </w:r>
          </w:p>
        </w:tc>
        <w:tc>
          <w:tcPr>
            <w:tcW w:w="1134" w:type="dxa"/>
            <w:shd w:val="clear" w:color="auto" w:fill="AB054C"/>
          </w:tcPr>
          <w:p w14:paraId="33D8626D" w14:textId="77777777" w:rsidR="0077095E" w:rsidRPr="00E86736" w:rsidRDefault="0077095E" w:rsidP="00E86736">
            <w:pPr>
              <w:widowControl w:val="0"/>
              <w:spacing w:after="0"/>
              <w:jc w:val="center"/>
              <w:rPr>
                <w:rFonts w:eastAsia="Arial"/>
                <w:b/>
                <w:color w:val="FFFFFF"/>
                <w:sz w:val="20"/>
              </w:rPr>
            </w:pPr>
            <w:r w:rsidRPr="00E86736">
              <w:rPr>
                <w:rFonts w:eastAsia="Arial"/>
                <w:b/>
                <w:color w:val="FFFFFF"/>
                <w:sz w:val="20"/>
              </w:rPr>
              <w:t>2017-18</w:t>
            </w:r>
          </w:p>
          <w:p w14:paraId="0F44B1B0" w14:textId="77777777" w:rsidR="0077095E" w:rsidRPr="00E86736" w:rsidRDefault="0077095E" w:rsidP="00E86736">
            <w:pPr>
              <w:widowControl w:val="0"/>
              <w:spacing w:after="0"/>
              <w:jc w:val="center"/>
              <w:rPr>
                <w:rFonts w:eastAsia="Arial"/>
                <w:b/>
                <w:color w:val="FFFFFF"/>
                <w:sz w:val="20"/>
              </w:rPr>
            </w:pPr>
            <w:r w:rsidRPr="00E86736">
              <w:rPr>
                <w:rFonts w:eastAsia="Arial"/>
                <w:b/>
                <w:color w:val="FFFFFF"/>
                <w:sz w:val="20"/>
              </w:rPr>
              <w:t>Actual</w:t>
            </w:r>
          </w:p>
        </w:tc>
      </w:tr>
      <w:tr w:rsidR="0077095E" w:rsidRPr="00515807" w14:paraId="423F4DDC" w14:textId="77777777" w:rsidTr="00DC6AB4">
        <w:trPr>
          <w:trHeight w:hRule="exact" w:val="548"/>
        </w:trPr>
        <w:tc>
          <w:tcPr>
            <w:tcW w:w="3686" w:type="dxa"/>
          </w:tcPr>
          <w:p w14:paraId="08ED467A" w14:textId="77777777" w:rsidR="0077095E" w:rsidRPr="00D5359F" w:rsidRDefault="0077095E" w:rsidP="00D0219C">
            <w:pPr>
              <w:widowControl w:val="0"/>
              <w:spacing w:line="251" w:lineRule="exact"/>
              <w:ind w:left="103"/>
              <w:rPr>
                <w:rFonts w:eastAsia="Arial"/>
                <w:sz w:val="21"/>
                <w:szCs w:val="21"/>
              </w:rPr>
            </w:pPr>
            <w:r w:rsidRPr="00D5359F">
              <w:rPr>
                <w:rFonts w:eastAsia="Calibri" w:hAnsi="Calibri" w:cs="Times New Roman"/>
                <w:sz w:val="21"/>
                <w:szCs w:val="21"/>
              </w:rPr>
              <w:t>Customer</w:t>
            </w:r>
            <w:r w:rsidRPr="00D5359F">
              <w:rPr>
                <w:rFonts w:eastAsia="Calibri" w:hAnsi="Calibri" w:cs="Times New Roman"/>
                <w:spacing w:val="-7"/>
                <w:sz w:val="21"/>
                <w:szCs w:val="21"/>
              </w:rPr>
              <w:t xml:space="preserve"> </w:t>
            </w:r>
            <w:r w:rsidRPr="00D5359F">
              <w:rPr>
                <w:rFonts w:eastAsia="Calibri" w:hAnsi="Calibri" w:cs="Times New Roman"/>
                <w:sz w:val="21"/>
                <w:szCs w:val="21"/>
              </w:rPr>
              <w:t>satisfaction</w:t>
            </w:r>
          </w:p>
        </w:tc>
        <w:tc>
          <w:tcPr>
            <w:tcW w:w="851" w:type="dxa"/>
          </w:tcPr>
          <w:p w14:paraId="11B55A84" w14:textId="77777777" w:rsidR="0077095E" w:rsidRPr="00D5359F" w:rsidRDefault="0077095E" w:rsidP="002A5B49">
            <w:pPr>
              <w:widowControl w:val="0"/>
              <w:spacing w:line="251" w:lineRule="exact"/>
              <w:ind w:left="103"/>
              <w:jc w:val="center"/>
              <w:rPr>
                <w:rFonts w:eastAsia="Arial"/>
                <w:szCs w:val="22"/>
              </w:rPr>
            </w:pPr>
            <w:r w:rsidRPr="00D5359F">
              <w:rPr>
                <w:rFonts w:eastAsia="Calibri" w:hAnsi="Calibri" w:cs="Times New Roman"/>
                <w:szCs w:val="22"/>
              </w:rPr>
              <w:t>1</w:t>
            </w:r>
          </w:p>
        </w:tc>
        <w:tc>
          <w:tcPr>
            <w:tcW w:w="1133" w:type="dxa"/>
          </w:tcPr>
          <w:p w14:paraId="755E2329" w14:textId="7B2D0826" w:rsidR="0077095E" w:rsidRPr="00D5359F" w:rsidRDefault="00FA6567" w:rsidP="00E86736">
            <w:pPr>
              <w:widowControl w:val="0"/>
              <w:spacing w:line="243" w:lineRule="exact"/>
              <w:ind w:right="1"/>
              <w:jc w:val="center"/>
              <w:rPr>
                <w:rFonts w:ascii="Wingdings" w:eastAsia="Wingdings" w:hAnsi="Wingdings" w:cs="Wingdings"/>
                <w:szCs w:val="22"/>
              </w:rPr>
            </w:pPr>
            <w:r w:rsidRPr="00D5359F">
              <w:rPr>
                <w:rFonts w:eastAsia="Calibri" w:hAnsi="Calibri" w:cs="Times New Roman"/>
                <w:szCs w:val="22"/>
              </w:rPr>
              <w:t>-</w:t>
            </w:r>
          </w:p>
        </w:tc>
        <w:tc>
          <w:tcPr>
            <w:tcW w:w="993" w:type="dxa"/>
          </w:tcPr>
          <w:p w14:paraId="3777D85A" w14:textId="77777777" w:rsidR="0077095E" w:rsidRPr="00D5359F" w:rsidRDefault="0077095E" w:rsidP="00E86736">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1133" w:type="dxa"/>
            <w:shd w:val="clear" w:color="auto" w:fill="auto"/>
          </w:tcPr>
          <w:p w14:paraId="0BB3C34C" w14:textId="77777777" w:rsidR="0077095E" w:rsidRPr="00D5359F" w:rsidRDefault="00D17E92" w:rsidP="00E86736">
            <w:pPr>
              <w:widowControl w:val="0"/>
              <w:spacing w:line="251" w:lineRule="exact"/>
              <w:ind w:left="6"/>
              <w:jc w:val="center"/>
              <w:rPr>
                <w:rFonts w:eastAsia="Calibri" w:hAnsi="Calibri" w:cs="Times New Roman"/>
                <w:szCs w:val="22"/>
              </w:rPr>
            </w:pPr>
            <w:r w:rsidRPr="00D5359F">
              <w:rPr>
                <w:rFonts w:eastAsia="Calibri" w:hAnsi="Calibri" w:cs="Times New Roman"/>
                <w:szCs w:val="22"/>
              </w:rPr>
              <w:t>87%</w:t>
            </w:r>
          </w:p>
        </w:tc>
        <w:tc>
          <w:tcPr>
            <w:tcW w:w="1276" w:type="dxa"/>
            <w:shd w:val="clear" w:color="auto" w:fill="FEDADD"/>
          </w:tcPr>
          <w:p w14:paraId="0A5802D8" w14:textId="77777777" w:rsidR="0077095E" w:rsidRPr="00D5359F" w:rsidRDefault="0077095E" w:rsidP="00E86736">
            <w:pPr>
              <w:widowControl w:val="0"/>
              <w:ind w:right="-22"/>
              <w:jc w:val="center"/>
              <w:rPr>
                <w:rFonts w:eastAsia="Arial"/>
                <w:szCs w:val="22"/>
              </w:rPr>
            </w:pPr>
            <w:r w:rsidRPr="00D5359F">
              <w:rPr>
                <w:rFonts w:eastAsia="Arial"/>
                <w:szCs w:val="22"/>
              </w:rPr>
              <w:t>80%</w:t>
            </w:r>
          </w:p>
        </w:tc>
        <w:tc>
          <w:tcPr>
            <w:tcW w:w="1134" w:type="dxa"/>
            <w:shd w:val="clear" w:color="auto" w:fill="FEDADD"/>
          </w:tcPr>
          <w:p w14:paraId="6D71CFD7" w14:textId="77777777" w:rsidR="0077095E" w:rsidRPr="00D5359F" w:rsidRDefault="00D17E92" w:rsidP="00E86736">
            <w:pPr>
              <w:widowControl w:val="0"/>
              <w:spacing w:line="251" w:lineRule="exact"/>
              <w:ind w:left="319"/>
              <w:rPr>
                <w:rFonts w:eastAsia="Arial"/>
                <w:szCs w:val="22"/>
              </w:rPr>
            </w:pPr>
            <w:r w:rsidRPr="00D5359F">
              <w:rPr>
                <w:rFonts w:eastAsia="Arial"/>
                <w:szCs w:val="22"/>
              </w:rPr>
              <w:t>81%</w:t>
            </w:r>
          </w:p>
        </w:tc>
      </w:tr>
      <w:tr w:rsidR="0077095E" w:rsidRPr="00D17E92" w14:paraId="301253ED" w14:textId="77777777" w:rsidTr="00D0219C">
        <w:trPr>
          <w:trHeight w:hRule="exact" w:val="719"/>
        </w:trPr>
        <w:tc>
          <w:tcPr>
            <w:tcW w:w="3686" w:type="dxa"/>
          </w:tcPr>
          <w:p w14:paraId="119ADA59" w14:textId="77777777" w:rsidR="0077095E" w:rsidRPr="00D5359F" w:rsidRDefault="00D17E92" w:rsidP="00E86736">
            <w:pPr>
              <w:widowControl w:val="0"/>
              <w:ind w:left="103" w:right="331"/>
              <w:rPr>
                <w:rFonts w:eastAsia="Arial"/>
                <w:sz w:val="21"/>
                <w:szCs w:val="21"/>
              </w:rPr>
            </w:pPr>
            <w:r w:rsidRPr="00D5359F">
              <w:rPr>
                <w:sz w:val="21"/>
                <w:szCs w:val="21"/>
              </w:rPr>
              <w:t>Average cost per tier three review ($'000)</w:t>
            </w:r>
          </w:p>
        </w:tc>
        <w:tc>
          <w:tcPr>
            <w:tcW w:w="851" w:type="dxa"/>
          </w:tcPr>
          <w:p w14:paraId="7CB7519C" w14:textId="77777777" w:rsidR="0077095E" w:rsidRPr="00D5359F" w:rsidRDefault="00AD494C" w:rsidP="002A5B49">
            <w:pPr>
              <w:widowControl w:val="0"/>
              <w:spacing w:line="251" w:lineRule="exact"/>
              <w:ind w:left="103"/>
              <w:jc w:val="center"/>
              <w:rPr>
                <w:rFonts w:eastAsia="Arial"/>
                <w:szCs w:val="22"/>
              </w:rPr>
            </w:pPr>
            <w:r w:rsidRPr="00D5359F">
              <w:rPr>
                <w:rFonts w:eastAsia="Arial"/>
                <w:szCs w:val="22"/>
              </w:rPr>
              <w:t>2</w:t>
            </w:r>
          </w:p>
        </w:tc>
        <w:tc>
          <w:tcPr>
            <w:tcW w:w="1133" w:type="dxa"/>
          </w:tcPr>
          <w:p w14:paraId="1FC2C03D" w14:textId="77777777" w:rsidR="0077095E" w:rsidRPr="00D5359F" w:rsidRDefault="00A56495" w:rsidP="00E86736">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993" w:type="dxa"/>
          </w:tcPr>
          <w:p w14:paraId="0D55B3AA" w14:textId="77777777" w:rsidR="0077095E" w:rsidRPr="00D5359F" w:rsidRDefault="002A5B49" w:rsidP="00E86736">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1133" w:type="dxa"/>
            <w:shd w:val="clear" w:color="auto" w:fill="auto"/>
          </w:tcPr>
          <w:p w14:paraId="2BDA2985" w14:textId="77777777" w:rsidR="0077095E" w:rsidRPr="00D5359F" w:rsidRDefault="00AD7B7A" w:rsidP="00E86736">
            <w:pPr>
              <w:widowControl w:val="0"/>
              <w:spacing w:line="251" w:lineRule="exact"/>
              <w:ind w:left="6"/>
              <w:jc w:val="center"/>
              <w:rPr>
                <w:rFonts w:eastAsia="Calibri" w:hAnsi="Calibri" w:cs="Times New Roman"/>
                <w:szCs w:val="22"/>
              </w:rPr>
            </w:pPr>
            <w:r w:rsidRPr="00D5359F">
              <w:rPr>
                <w:rFonts w:eastAsia="Calibri" w:hAnsi="Calibri" w:cs="Times New Roman"/>
                <w:szCs w:val="22"/>
              </w:rPr>
              <w:t>-</w:t>
            </w:r>
          </w:p>
        </w:tc>
        <w:tc>
          <w:tcPr>
            <w:tcW w:w="1276" w:type="dxa"/>
            <w:shd w:val="clear" w:color="auto" w:fill="FEDADD"/>
          </w:tcPr>
          <w:p w14:paraId="6B77A5F6" w14:textId="77777777" w:rsidR="0077095E" w:rsidRPr="00D5359F" w:rsidRDefault="00D17E92" w:rsidP="00E86736">
            <w:pPr>
              <w:widowControl w:val="0"/>
              <w:spacing w:line="251" w:lineRule="exact"/>
              <w:ind w:left="6"/>
              <w:jc w:val="center"/>
              <w:rPr>
                <w:rFonts w:eastAsia="Arial"/>
                <w:szCs w:val="22"/>
              </w:rPr>
            </w:pPr>
            <w:r w:rsidRPr="00D5359F">
              <w:rPr>
                <w:rFonts w:eastAsia="Arial"/>
                <w:szCs w:val="22"/>
              </w:rPr>
              <w:t>200</w:t>
            </w:r>
          </w:p>
        </w:tc>
        <w:tc>
          <w:tcPr>
            <w:tcW w:w="1134" w:type="dxa"/>
            <w:shd w:val="clear" w:color="auto" w:fill="FEDADD"/>
          </w:tcPr>
          <w:p w14:paraId="6826B59E" w14:textId="77777777" w:rsidR="0077095E" w:rsidRPr="00D5359F" w:rsidRDefault="00D17E92" w:rsidP="00E86736">
            <w:pPr>
              <w:widowControl w:val="0"/>
              <w:spacing w:line="251" w:lineRule="exact"/>
              <w:ind w:left="319"/>
              <w:rPr>
                <w:rFonts w:eastAsia="Arial"/>
                <w:szCs w:val="22"/>
                <w:highlight w:val="yellow"/>
              </w:rPr>
            </w:pPr>
            <w:r w:rsidRPr="00637EAA">
              <w:rPr>
                <w:rFonts w:eastAsia="Arial"/>
                <w:szCs w:val="22"/>
              </w:rPr>
              <w:t>2</w:t>
            </w:r>
            <w:r w:rsidR="00637EAA" w:rsidRPr="00637EAA">
              <w:rPr>
                <w:rFonts w:eastAsia="Arial"/>
                <w:szCs w:val="22"/>
              </w:rPr>
              <w:t>49</w:t>
            </w:r>
          </w:p>
        </w:tc>
      </w:tr>
      <w:tr w:rsidR="00471739" w:rsidRPr="00D17E92" w14:paraId="729B11D6" w14:textId="77777777" w:rsidTr="00D0219C">
        <w:trPr>
          <w:trHeight w:hRule="exact" w:val="702"/>
        </w:trPr>
        <w:tc>
          <w:tcPr>
            <w:tcW w:w="3686" w:type="dxa"/>
          </w:tcPr>
          <w:p w14:paraId="4A2A89A8" w14:textId="77777777" w:rsidR="00471739" w:rsidRPr="00D5359F" w:rsidRDefault="007C7876" w:rsidP="00471739">
            <w:pPr>
              <w:widowControl w:val="0"/>
              <w:ind w:left="103" w:right="331"/>
              <w:rPr>
                <w:sz w:val="21"/>
                <w:szCs w:val="21"/>
              </w:rPr>
            </w:pPr>
            <w:r w:rsidRPr="00D5359F">
              <w:rPr>
                <w:sz w:val="21"/>
                <w:szCs w:val="21"/>
              </w:rPr>
              <w:t>Customer satisfaction with Office of the IGEM reviews</w:t>
            </w:r>
          </w:p>
        </w:tc>
        <w:tc>
          <w:tcPr>
            <w:tcW w:w="851" w:type="dxa"/>
          </w:tcPr>
          <w:p w14:paraId="5CEFD4B6" w14:textId="77777777" w:rsidR="00471739" w:rsidRPr="00D5359F" w:rsidRDefault="00D4001A" w:rsidP="002A5B49">
            <w:pPr>
              <w:widowControl w:val="0"/>
              <w:spacing w:line="251" w:lineRule="exact"/>
              <w:ind w:left="103"/>
              <w:jc w:val="center"/>
              <w:rPr>
                <w:rFonts w:eastAsia="Arial"/>
                <w:szCs w:val="22"/>
              </w:rPr>
            </w:pPr>
            <w:r w:rsidRPr="00D5359F">
              <w:rPr>
                <w:rFonts w:eastAsia="Arial"/>
                <w:szCs w:val="22"/>
              </w:rPr>
              <w:t>3</w:t>
            </w:r>
          </w:p>
        </w:tc>
        <w:tc>
          <w:tcPr>
            <w:tcW w:w="1133" w:type="dxa"/>
          </w:tcPr>
          <w:p w14:paraId="77C02C6C" w14:textId="77777777" w:rsidR="00471739" w:rsidRPr="00D5359F" w:rsidRDefault="00E86736" w:rsidP="00471739">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993" w:type="dxa"/>
          </w:tcPr>
          <w:p w14:paraId="22751110" w14:textId="099E8A6D" w:rsidR="00471739" w:rsidRPr="00D5359F" w:rsidRDefault="00FA6567" w:rsidP="00471739">
            <w:pPr>
              <w:widowControl w:val="0"/>
              <w:spacing w:line="243" w:lineRule="exact"/>
              <w:ind w:right="1"/>
              <w:jc w:val="center"/>
              <w:rPr>
                <w:rFonts w:ascii="Wingdings" w:eastAsia="Wingdings" w:hAnsi="Wingdings" w:cs="Wingdings"/>
                <w:szCs w:val="22"/>
              </w:rPr>
            </w:pPr>
            <w:r w:rsidRPr="00D5359F">
              <w:rPr>
                <w:rFonts w:eastAsia="Calibri" w:hAnsi="Calibri" w:cs="Times New Roman"/>
                <w:szCs w:val="22"/>
              </w:rPr>
              <w:t>-</w:t>
            </w:r>
          </w:p>
        </w:tc>
        <w:tc>
          <w:tcPr>
            <w:tcW w:w="1133" w:type="dxa"/>
            <w:shd w:val="clear" w:color="auto" w:fill="auto"/>
          </w:tcPr>
          <w:p w14:paraId="001C66F6" w14:textId="77777777" w:rsidR="00471739" w:rsidRPr="00D5359F" w:rsidRDefault="00766756" w:rsidP="00471739">
            <w:pPr>
              <w:widowControl w:val="0"/>
              <w:spacing w:line="251" w:lineRule="exact"/>
              <w:ind w:left="6"/>
              <w:jc w:val="center"/>
              <w:rPr>
                <w:rFonts w:eastAsia="Calibri" w:hAnsi="Calibri" w:cs="Times New Roman"/>
                <w:szCs w:val="22"/>
              </w:rPr>
            </w:pPr>
            <w:r>
              <w:rPr>
                <w:rFonts w:eastAsia="Calibri" w:hAnsi="Calibri" w:cs="Times New Roman"/>
                <w:szCs w:val="22"/>
              </w:rPr>
              <w:t>78%</w:t>
            </w:r>
          </w:p>
        </w:tc>
        <w:tc>
          <w:tcPr>
            <w:tcW w:w="1276" w:type="dxa"/>
            <w:shd w:val="clear" w:color="auto" w:fill="FEDADD"/>
          </w:tcPr>
          <w:p w14:paraId="5CA69E2B" w14:textId="77777777" w:rsidR="00471739" w:rsidRPr="00D5359F" w:rsidRDefault="00E86736" w:rsidP="00471739">
            <w:pPr>
              <w:widowControl w:val="0"/>
              <w:spacing w:line="251" w:lineRule="exact"/>
              <w:ind w:left="6"/>
              <w:jc w:val="center"/>
              <w:rPr>
                <w:rFonts w:eastAsia="Arial"/>
                <w:szCs w:val="22"/>
              </w:rPr>
            </w:pPr>
            <w:r>
              <w:rPr>
                <w:rFonts w:eastAsia="Arial"/>
                <w:szCs w:val="22"/>
              </w:rPr>
              <w:t>-</w:t>
            </w:r>
          </w:p>
        </w:tc>
        <w:tc>
          <w:tcPr>
            <w:tcW w:w="1134" w:type="dxa"/>
            <w:shd w:val="clear" w:color="auto" w:fill="FEDADD"/>
          </w:tcPr>
          <w:p w14:paraId="7F0EB74D" w14:textId="77777777" w:rsidR="00471739" w:rsidRPr="00F618A9" w:rsidRDefault="00AA47DE" w:rsidP="00471739">
            <w:pPr>
              <w:widowControl w:val="0"/>
              <w:spacing w:line="251" w:lineRule="exact"/>
              <w:ind w:left="319"/>
              <w:rPr>
                <w:rFonts w:eastAsia="Arial"/>
                <w:szCs w:val="22"/>
              </w:rPr>
            </w:pPr>
            <w:r>
              <w:rPr>
                <w:rFonts w:eastAsia="Arial"/>
                <w:szCs w:val="22"/>
              </w:rPr>
              <w:t>75%</w:t>
            </w:r>
          </w:p>
        </w:tc>
      </w:tr>
      <w:tr w:rsidR="00471739" w:rsidRPr="00D17E92" w14:paraId="1DF471B7" w14:textId="77777777" w:rsidTr="00D0219C">
        <w:trPr>
          <w:trHeight w:hRule="exact" w:val="712"/>
        </w:trPr>
        <w:tc>
          <w:tcPr>
            <w:tcW w:w="3686" w:type="dxa"/>
          </w:tcPr>
          <w:p w14:paraId="42082B2A" w14:textId="77777777" w:rsidR="00471739" w:rsidRPr="00D5359F" w:rsidRDefault="007C7876" w:rsidP="00471739">
            <w:pPr>
              <w:widowControl w:val="0"/>
              <w:ind w:left="103" w:right="331"/>
              <w:rPr>
                <w:sz w:val="21"/>
                <w:szCs w:val="21"/>
              </w:rPr>
            </w:pPr>
            <w:r w:rsidRPr="00D5359F">
              <w:rPr>
                <w:sz w:val="21"/>
                <w:szCs w:val="21"/>
              </w:rPr>
              <w:t>Customer perceptions of Office of the IGE</w:t>
            </w:r>
            <w:r w:rsidR="00D5359F">
              <w:rPr>
                <w:sz w:val="21"/>
                <w:szCs w:val="21"/>
              </w:rPr>
              <w:t>M</w:t>
            </w:r>
            <w:r w:rsidRPr="00D5359F">
              <w:rPr>
                <w:sz w:val="21"/>
                <w:szCs w:val="21"/>
              </w:rPr>
              <w:t xml:space="preserve"> website </w:t>
            </w:r>
          </w:p>
        </w:tc>
        <w:tc>
          <w:tcPr>
            <w:tcW w:w="851" w:type="dxa"/>
          </w:tcPr>
          <w:p w14:paraId="4E6CBDCD" w14:textId="77777777" w:rsidR="00471739" w:rsidRPr="00D5359F" w:rsidRDefault="00D4001A" w:rsidP="002A5B49">
            <w:pPr>
              <w:widowControl w:val="0"/>
              <w:spacing w:line="251" w:lineRule="exact"/>
              <w:ind w:left="103"/>
              <w:jc w:val="center"/>
              <w:rPr>
                <w:rFonts w:eastAsia="Arial"/>
                <w:szCs w:val="22"/>
              </w:rPr>
            </w:pPr>
            <w:r w:rsidRPr="00D5359F">
              <w:rPr>
                <w:rFonts w:eastAsia="Arial"/>
                <w:szCs w:val="22"/>
              </w:rPr>
              <w:t>4</w:t>
            </w:r>
          </w:p>
        </w:tc>
        <w:tc>
          <w:tcPr>
            <w:tcW w:w="1133" w:type="dxa"/>
          </w:tcPr>
          <w:p w14:paraId="3CBA4F9E" w14:textId="77777777" w:rsidR="00471739" w:rsidRPr="00D5359F" w:rsidRDefault="00E86736" w:rsidP="00471739">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993" w:type="dxa"/>
          </w:tcPr>
          <w:p w14:paraId="528D3AB0" w14:textId="22312B60" w:rsidR="00471739" w:rsidRPr="00D5359F" w:rsidRDefault="00FA6567" w:rsidP="00471739">
            <w:pPr>
              <w:widowControl w:val="0"/>
              <w:spacing w:line="243" w:lineRule="exact"/>
              <w:ind w:right="1"/>
              <w:jc w:val="center"/>
              <w:rPr>
                <w:rFonts w:ascii="Wingdings" w:eastAsia="Wingdings" w:hAnsi="Wingdings" w:cs="Wingdings"/>
                <w:szCs w:val="22"/>
              </w:rPr>
            </w:pPr>
            <w:r w:rsidRPr="00D5359F">
              <w:rPr>
                <w:rFonts w:eastAsia="Calibri" w:hAnsi="Calibri" w:cs="Times New Roman"/>
                <w:szCs w:val="22"/>
              </w:rPr>
              <w:t>-</w:t>
            </w:r>
          </w:p>
        </w:tc>
        <w:tc>
          <w:tcPr>
            <w:tcW w:w="1133" w:type="dxa"/>
            <w:shd w:val="clear" w:color="auto" w:fill="auto"/>
          </w:tcPr>
          <w:p w14:paraId="0F11470F" w14:textId="77777777" w:rsidR="00471739" w:rsidRPr="00D5359F" w:rsidRDefault="00766756" w:rsidP="00471739">
            <w:pPr>
              <w:widowControl w:val="0"/>
              <w:spacing w:line="251" w:lineRule="exact"/>
              <w:ind w:left="6"/>
              <w:jc w:val="center"/>
              <w:rPr>
                <w:rFonts w:eastAsia="Calibri" w:hAnsi="Calibri" w:cs="Times New Roman"/>
                <w:szCs w:val="22"/>
              </w:rPr>
            </w:pPr>
            <w:r>
              <w:rPr>
                <w:rFonts w:eastAsia="Calibri" w:hAnsi="Calibri" w:cs="Times New Roman"/>
                <w:szCs w:val="22"/>
              </w:rPr>
              <w:t>86%</w:t>
            </w:r>
          </w:p>
        </w:tc>
        <w:tc>
          <w:tcPr>
            <w:tcW w:w="1276" w:type="dxa"/>
            <w:shd w:val="clear" w:color="auto" w:fill="FEDADD"/>
          </w:tcPr>
          <w:p w14:paraId="24DFCB1D" w14:textId="77777777" w:rsidR="00471739" w:rsidRPr="00D5359F" w:rsidRDefault="00E86736" w:rsidP="00471739">
            <w:pPr>
              <w:widowControl w:val="0"/>
              <w:spacing w:line="251" w:lineRule="exact"/>
              <w:ind w:left="6"/>
              <w:jc w:val="center"/>
              <w:rPr>
                <w:rFonts w:eastAsia="Arial"/>
                <w:szCs w:val="22"/>
              </w:rPr>
            </w:pPr>
            <w:r>
              <w:rPr>
                <w:rFonts w:eastAsia="Arial"/>
                <w:szCs w:val="22"/>
              </w:rPr>
              <w:t>-</w:t>
            </w:r>
          </w:p>
        </w:tc>
        <w:tc>
          <w:tcPr>
            <w:tcW w:w="1134" w:type="dxa"/>
            <w:shd w:val="clear" w:color="auto" w:fill="FEDADD"/>
          </w:tcPr>
          <w:p w14:paraId="387FE802" w14:textId="77777777" w:rsidR="00471739" w:rsidRPr="00F618A9" w:rsidRDefault="00E86736" w:rsidP="00471739">
            <w:pPr>
              <w:widowControl w:val="0"/>
              <w:spacing w:line="251" w:lineRule="exact"/>
              <w:ind w:left="319"/>
              <w:rPr>
                <w:rFonts w:eastAsia="Arial"/>
                <w:szCs w:val="22"/>
              </w:rPr>
            </w:pPr>
            <w:r>
              <w:rPr>
                <w:rFonts w:eastAsia="Arial"/>
                <w:szCs w:val="22"/>
              </w:rPr>
              <w:t>88%</w:t>
            </w:r>
          </w:p>
        </w:tc>
      </w:tr>
      <w:tr w:rsidR="00471739" w:rsidRPr="00D17E92" w14:paraId="00B83900" w14:textId="77777777" w:rsidTr="00D0219C">
        <w:trPr>
          <w:trHeight w:hRule="exact" w:val="977"/>
        </w:trPr>
        <w:tc>
          <w:tcPr>
            <w:tcW w:w="3686" w:type="dxa"/>
          </w:tcPr>
          <w:p w14:paraId="45BB3CEA" w14:textId="77777777" w:rsidR="00471739" w:rsidRPr="00D5359F" w:rsidRDefault="007C7876" w:rsidP="00471739">
            <w:pPr>
              <w:widowControl w:val="0"/>
              <w:ind w:left="103" w:right="331"/>
              <w:rPr>
                <w:sz w:val="21"/>
                <w:szCs w:val="21"/>
              </w:rPr>
            </w:pPr>
            <w:r w:rsidRPr="00D5359F">
              <w:rPr>
                <w:sz w:val="21"/>
                <w:szCs w:val="21"/>
              </w:rPr>
              <w:t>Customer s</w:t>
            </w:r>
            <w:r w:rsidR="002A5B49">
              <w:rPr>
                <w:sz w:val="21"/>
                <w:szCs w:val="21"/>
              </w:rPr>
              <w:t>atisfaction with Office of the I</w:t>
            </w:r>
            <w:r w:rsidRPr="00D5359F">
              <w:rPr>
                <w:sz w:val="21"/>
                <w:szCs w:val="21"/>
              </w:rPr>
              <w:t>GEM information and advice</w:t>
            </w:r>
          </w:p>
        </w:tc>
        <w:tc>
          <w:tcPr>
            <w:tcW w:w="851" w:type="dxa"/>
          </w:tcPr>
          <w:p w14:paraId="3B1CC921" w14:textId="77777777" w:rsidR="00471739" w:rsidRPr="00D5359F" w:rsidRDefault="00D4001A" w:rsidP="002A5B49">
            <w:pPr>
              <w:widowControl w:val="0"/>
              <w:spacing w:line="251" w:lineRule="exact"/>
              <w:ind w:left="103"/>
              <w:jc w:val="center"/>
              <w:rPr>
                <w:rFonts w:eastAsia="Arial"/>
                <w:szCs w:val="22"/>
              </w:rPr>
            </w:pPr>
            <w:r w:rsidRPr="00D5359F">
              <w:rPr>
                <w:rFonts w:eastAsia="Arial"/>
                <w:szCs w:val="22"/>
              </w:rPr>
              <w:t>5</w:t>
            </w:r>
          </w:p>
        </w:tc>
        <w:tc>
          <w:tcPr>
            <w:tcW w:w="1133" w:type="dxa"/>
          </w:tcPr>
          <w:p w14:paraId="5A5CD4F2" w14:textId="77777777" w:rsidR="00471739" w:rsidRPr="00D5359F" w:rsidRDefault="00E86736" w:rsidP="00471739">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993" w:type="dxa"/>
          </w:tcPr>
          <w:p w14:paraId="36623F93" w14:textId="5359C90E" w:rsidR="00471739" w:rsidRPr="00D5359F" w:rsidRDefault="00FA6567" w:rsidP="00471739">
            <w:pPr>
              <w:widowControl w:val="0"/>
              <w:spacing w:line="243" w:lineRule="exact"/>
              <w:ind w:right="1"/>
              <w:jc w:val="center"/>
              <w:rPr>
                <w:rFonts w:ascii="Wingdings" w:eastAsia="Wingdings" w:hAnsi="Wingdings" w:cs="Wingdings"/>
                <w:szCs w:val="22"/>
              </w:rPr>
            </w:pPr>
            <w:r w:rsidRPr="00D5359F">
              <w:rPr>
                <w:rFonts w:eastAsia="Calibri" w:hAnsi="Calibri" w:cs="Times New Roman"/>
                <w:szCs w:val="22"/>
              </w:rPr>
              <w:t>-</w:t>
            </w:r>
          </w:p>
        </w:tc>
        <w:tc>
          <w:tcPr>
            <w:tcW w:w="1133" w:type="dxa"/>
            <w:shd w:val="clear" w:color="auto" w:fill="auto"/>
          </w:tcPr>
          <w:p w14:paraId="722DC750" w14:textId="77777777" w:rsidR="00471739" w:rsidRPr="00D5359F" w:rsidRDefault="00627EFF" w:rsidP="00471739">
            <w:pPr>
              <w:widowControl w:val="0"/>
              <w:spacing w:line="251" w:lineRule="exact"/>
              <w:ind w:left="6"/>
              <w:jc w:val="center"/>
              <w:rPr>
                <w:rFonts w:eastAsia="Calibri" w:hAnsi="Calibri" w:cs="Times New Roman"/>
                <w:szCs w:val="22"/>
              </w:rPr>
            </w:pPr>
            <w:r>
              <w:rPr>
                <w:rFonts w:eastAsia="Calibri" w:hAnsi="Calibri" w:cs="Times New Roman"/>
                <w:szCs w:val="22"/>
              </w:rPr>
              <w:t>77%</w:t>
            </w:r>
          </w:p>
        </w:tc>
        <w:tc>
          <w:tcPr>
            <w:tcW w:w="1276" w:type="dxa"/>
            <w:shd w:val="clear" w:color="auto" w:fill="FEDADD"/>
          </w:tcPr>
          <w:p w14:paraId="61442AE4" w14:textId="77777777" w:rsidR="00471739" w:rsidRPr="00D5359F" w:rsidRDefault="00E86736" w:rsidP="00471739">
            <w:pPr>
              <w:widowControl w:val="0"/>
              <w:spacing w:line="251" w:lineRule="exact"/>
              <w:ind w:left="6"/>
              <w:jc w:val="center"/>
              <w:rPr>
                <w:rFonts w:eastAsia="Arial"/>
                <w:szCs w:val="22"/>
              </w:rPr>
            </w:pPr>
            <w:r>
              <w:rPr>
                <w:rFonts w:eastAsia="Arial"/>
                <w:szCs w:val="22"/>
              </w:rPr>
              <w:t>-</w:t>
            </w:r>
          </w:p>
        </w:tc>
        <w:tc>
          <w:tcPr>
            <w:tcW w:w="1134" w:type="dxa"/>
            <w:shd w:val="clear" w:color="auto" w:fill="FEDADD"/>
          </w:tcPr>
          <w:p w14:paraId="0F2E5D26" w14:textId="77777777" w:rsidR="00471739" w:rsidRPr="00F618A9" w:rsidRDefault="00E86736" w:rsidP="00471739">
            <w:pPr>
              <w:widowControl w:val="0"/>
              <w:spacing w:line="251" w:lineRule="exact"/>
              <w:ind w:left="319"/>
              <w:rPr>
                <w:rFonts w:eastAsia="Arial"/>
                <w:szCs w:val="22"/>
              </w:rPr>
            </w:pPr>
            <w:r>
              <w:rPr>
                <w:rFonts w:eastAsia="Arial"/>
                <w:szCs w:val="22"/>
              </w:rPr>
              <w:t>73%</w:t>
            </w:r>
          </w:p>
        </w:tc>
      </w:tr>
      <w:tr w:rsidR="00471739" w:rsidRPr="00D17E92" w14:paraId="78F6F97A" w14:textId="77777777" w:rsidTr="00D0219C">
        <w:trPr>
          <w:trHeight w:hRule="exact" w:val="706"/>
        </w:trPr>
        <w:tc>
          <w:tcPr>
            <w:tcW w:w="3686" w:type="dxa"/>
          </w:tcPr>
          <w:p w14:paraId="366F5F56" w14:textId="77777777" w:rsidR="00471739" w:rsidRPr="00D5359F" w:rsidRDefault="007C7876" w:rsidP="00471739">
            <w:pPr>
              <w:widowControl w:val="0"/>
              <w:ind w:left="103" w:right="331"/>
              <w:rPr>
                <w:sz w:val="21"/>
                <w:szCs w:val="21"/>
              </w:rPr>
            </w:pPr>
            <w:r w:rsidRPr="00D5359F">
              <w:rPr>
                <w:sz w:val="21"/>
                <w:szCs w:val="21"/>
              </w:rPr>
              <w:t xml:space="preserve">Customer satisfaction with Office of the IGEM staff </w:t>
            </w:r>
          </w:p>
        </w:tc>
        <w:tc>
          <w:tcPr>
            <w:tcW w:w="851" w:type="dxa"/>
          </w:tcPr>
          <w:p w14:paraId="69A931C5" w14:textId="77777777" w:rsidR="00471739" w:rsidRPr="00D5359F" w:rsidRDefault="00D4001A" w:rsidP="002A5B49">
            <w:pPr>
              <w:widowControl w:val="0"/>
              <w:spacing w:line="251" w:lineRule="exact"/>
              <w:ind w:left="103"/>
              <w:jc w:val="center"/>
              <w:rPr>
                <w:rFonts w:eastAsia="Arial"/>
                <w:szCs w:val="22"/>
              </w:rPr>
            </w:pPr>
            <w:r w:rsidRPr="00D5359F">
              <w:rPr>
                <w:rFonts w:eastAsia="Arial"/>
                <w:szCs w:val="22"/>
              </w:rPr>
              <w:t>6</w:t>
            </w:r>
          </w:p>
        </w:tc>
        <w:tc>
          <w:tcPr>
            <w:tcW w:w="1133" w:type="dxa"/>
          </w:tcPr>
          <w:p w14:paraId="1AE73B78" w14:textId="77777777" w:rsidR="00471739" w:rsidRPr="00D5359F" w:rsidRDefault="00E86736" w:rsidP="00471739">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993" w:type="dxa"/>
          </w:tcPr>
          <w:p w14:paraId="33E12976" w14:textId="36830D5B" w:rsidR="00471739" w:rsidRPr="00D5359F" w:rsidRDefault="00FA6567" w:rsidP="00471739">
            <w:pPr>
              <w:widowControl w:val="0"/>
              <w:spacing w:line="243" w:lineRule="exact"/>
              <w:ind w:right="1"/>
              <w:jc w:val="center"/>
              <w:rPr>
                <w:rFonts w:ascii="Wingdings" w:eastAsia="Wingdings" w:hAnsi="Wingdings" w:cs="Wingdings"/>
                <w:szCs w:val="22"/>
              </w:rPr>
            </w:pPr>
            <w:r w:rsidRPr="00D5359F">
              <w:rPr>
                <w:rFonts w:eastAsia="Calibri" w:hAnsi="Calibri" w:cs="Times New Roman"/>
                <w:szCs w:val="22"/>
              </w:rPr>
              <w:t>-</w:t>
            </w:r>
          </w:p>
        </w:tc>
        <w:tc>
          <w:tcPr>
            <w:tcW w:w="1133" w:type="dxa"/>
            <w:shd w:val="clear" w:color="auto" w:fill="auto"/>
          </w:tcPr>
          <w:p w14:paraId="6000568D" w14:textId="77777777" w:rsidR="00471739" w:rsidRPr="00D5359F" w:rsidRDefault="00627EFF" w:rsidP="00471739">
            <w:pPr>
              <w:widowControl w:val="0"/>
              <w:spacing w:line="251" w:lineRule="exact"/>
              <w:ind w:left="6"/>
              <w:jc w:val="center"/>
              <w:rPr>
                <w:rFonts w:eastAsia="Calibri" w:hAnsi="Calibri" w:cs="Times New Roman"/>
                <w:szCs w:val="22"/>
              </w:rPr>
            </w:pPr>
            <w:r>
              <w:rPr>
                <w:rFonts w:eastAsia="Calibri" w:hAnsi="Calibri" w:cs="Times New Roman"/>
                <w:szCs w:val="22"/>
              </w:rPr>
              <w:t>90%</w:t>
            </w:r>
          </w:p>
        </w:tc>
        <w:tc>
          <w:tcPr>
            <w:tcW w:w="1276" w:type="dxa"/>
            <w:shd w:val="clear" w:color="auto" w:fill="FEDADD"/>
          </w:tcPr>
          <w:p w14:paraId="08055264" w14:textId="77777777" w:rsidR="00471739" w:rsidRPr="00D5359F" w:rsidRDefault="00E86736" w:rsidP="00471739">
            <w:pPr>
              <w:widowControl w:val="0"/>
              <w:spacing w:line="251" w:lineRule="exact"/>
              <w:ind w:left="6"/>
              <w:jc w:val="center"/>
              <w:rPr>
                <w:rFonts w:eastAsia="Arial"/>
                <w:szCs w:val="22"/>
              </w:rPr>
            </w:pPr>
            <w:r>
              <w:rPr>
                <w:rFonts w:eastAsia="Arial"/>
                <w:szCs w:val="22"/>
              </w:rPr>
              <w:t>-</w:t>
            </w:r>
          </w:p>
        </w:tc>
        <w:tc>
          <w:tcPr>
            <w:tcW w:w="1134" w:type="dxa"/>
            <w:shd w:val="clear" w:color="auto" w:fill="FEDADD"/>
          </w:tcPr>
          <w:p w14:paraId="4F3680C6" w14:textId="77777777" w:rsidR="00471739" w:rsidRPr="00F618A9" w:rsidRDefault="00E86736" w:rsidP="00471739">
            <w:pPr>
              <w:widowControl w:val="0"/>
              <w:spacing w:line="251" w:lineRule="exact"/>
              <w:ind w:left="319"/>
              <w:rPr>
                <w:rFonts w:eastAsia="Arial"/>
                <w:szCs w:val="22"/>
              </w:rPr>
            </w:pPr>
            <w:r>
              <w:rPr>
                <w:rFonts w:eastAsia="Arial"/>
                <w:szCs w:val="22"/>
              </w:rPr>
              <w:t>91%</w:t>
            </w:r>
          </w:p>
        </w:tc>
      </w:tr>
      <w:tr w:rsidR="00471739" w:rsidRPr="00D17E92" w14:paraId="2566E6C9" w14:textId="77777777" w:rsidTr="00DC6AB4">
        <w:trPr>
          <w:trHeight w:hRule="exact" w:val="709"/>
        </w:trPr>
        <w:tc>
          <w:tcPr>
            <w:tcW w:w="3686" w:type="dxa"/>
          </w:tcPr>
          <w:p w14:paraId="35CDBD73" w14:textId="77777777" w:rsidR="00A56495" w:rsidRPr="00D5359F" w:rsidRDefault="00A56495" w:rsidP="001A3B52">
            <w:pPr>
              <w:widowControl w:val="0"/>
              <w:ind w:left="103" w:right="331"/>
              <w:rPr>
                <w:sz w:val="21"/>
                <w:szCs w:val="21"/>
              </w:rPr>
            </w:pPr>
            <w:r w:rsidRPr="00D5359F">
              <w:rPr>
                <w:sz w:val="21"/>
                <w:szCs w:val="21"/>
              </w:rPr>
              <w:t xml:space="preserve">Staff perceptions of organisational </w:t>
            </w:r>
            <w:r w:rsidR="00E86736">
              <w:rPr>
                <w:sz w:val="21"/>
                <w:szCs w:val="21"/>
              </w:rPr>
              <w:t>leadership</w:t>
            </w:r>
          </w:p>
        </w:tc>
        <w:tc>
          <w:tcPr>
            <w:tcW w:w="851" w:type="dxa"/>
          </w:tcPr>
          <w:p w14:paraId="30E9AFA2" w14:textId="77777777" w:rsidR="00471739" w:rsidRPr="00D5359F" w:rsidRDefault="00D5359F" w:rsidP="002A5B49">
            <w:pPr>
              <w:widowControl w:val="0"/>
              <w:spacing w:line="251" w:lineRule="exact"/>
              <w:ind w:left="103"/>
              <w:jc w:val="center"/>
              <w:rPr>
                <w:rFonts w:eastAsia="Arial"/>
                <w:szCs w:val="22"/>
              </w:rPr>
            </w:pPr>
            <w:r>
              <w:rPr>
                <w:rFonts w:eastAsia="Arial"/>
                <w:szCs w:val="22"/>
              </w:rPr>
              <w:t>7</w:t>
            </w:r>
          </w:p>
        </w:tc>
        <w:tc>
          <w:tcPr>
            <w:tcW w:w="1133" w:type="dxa"/>
          </w:tcPr>
          <w:p w14:paraId="10039EF0" w14:textId="77777777" w:rsidR="00471739" w:rsidRPr="00D5359F" w:rsidRDefault="00E86736" w:rsidP="00471739">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993" w:type="dxa"/>
          </w:tcPr>
          <w:p w14:paraId="75F522CB" w14:textId="5C05D538" w:rsidR="00471739" w:rsidRPr="00D5359F" w:rsidRDefault="00FA6567" w:rsidP="00471739">
            <w:pPr>
              <w:widowControl w:val="0"/>
              <w:spacing w:line="243" w:lineRule="exact"/>
              <w:ind w:right="1"/>
              <w:jc w:val="center"/>
              <w:rPr>
                <w:rFonts w:ascii="Wingdings" w:eastAsia="Wingdings" w:hAnsi="Wingdings" w:cs="Wingdings"/>
                <w:szCs w:val="22"/>
              </w:rPr>
            </w:pPr>
            <w:r w:rsidRPr="00D5359F">
              <w:rPr>
                <w:rFonts w:eastAsia="Calibri" w:hAnsi="Calibri" w:cs="Times New Roman"/>
                <w:szCs w:val="22"/>
              </w:rPr>
              <w:t>-</w:t>
            </w:r>
          </w:p>
        </w:tc>
        <w:tc>
          <w:tcPr>
            <w:tcW w:w="1133" w:type="dxa"/>
            <w:shd w:val="clear" w:color="auto" w:fill="auto"/>
          </w:tcPr>
          <w:p w14:paraId="5844BC22" w14:textId="77777777" w:rsidR="00471739" w:rsidRPr="00D5359F" w:rsidRDefault="00627EFF" w:rsidP="00471739">
            <w:pPr>
              <w:widowControl w:val="0"/>
              <w:spacing w:line="251" w:lineRule="exact"/>
              <w:ind w:left="6"/>
              <w:jc w:val="center"/>
              <w:rPr>
                <w:rFonts w:eastAsia="Calibri" w:hAnsi="Calibri" w:cs="Times New Roman"/>
                <w:szCs w:val="22"/>
              </w:rPr>
            </w:pPr>
            <w:r>
              <w:rPr>
                <w:rFonts w:eastAsia="Calibri" w:hAnsi="Calibri" w:cs="Times New Roman"/>
                <w:szCs w:val="22"/>
              </w:rPr>
              <w:t>59%</w:t>
            </w:r>
          </w:p>
        </w:tc>
        <w:tc>
          <w:tcPr>
            <w:tcW w:w="1276" w:type="dxa"/>
            <w:shd w:val="clear" w:color="auto" w:fill="FEDADD"/>
          </w:tcPr>
          <w:p w14:paraId="5FF23DE4" w14:textId="77777777" w:rsidR="00471739" w:rsidRPr="00D5359F" w:rsidRDefault="00E86736" w:rsidP="00471739">
            <w:pPr>
              <w:widowControl w:val="0"/>
              <w:spacing w:line="251" w:lineRule="exact"/>
              <w:ind w:left="6"/>
              <w:jc w:val="center"/>
              <w:rPr>
                <w:rFonts w:eastAsia="Arial"/>
                <w:szCs w:val="22"/>
              </w:rPr>
            </w:pPr>
            <w:r>
              <w:rPr>
                <w:rFonts w:eastAsia="Arial"/>
                <w:szCs w:val="22"/>
              </w:rPr>
              <w:t>-</w:t>
            </w:r>
          </w:p>
        </w:tc>
        <w:tc>
          <w:tcPr>
            <w:tcW w:w="1134" w:type="dxa"/>
            <w:shd w:val="clear" w:color="auto" w:fill="FEDADD"/>
          </w:tcPr>
          <w:p w14:paraId="6B3D2FFD" w14:textId="77777777" w:rsidR="00471739" w:rsidRPr="00F618A9" w:rsidRDefault="007B2CAA" w:rsidP="00471739">
            <w:pPr>
              <w:widowControl w:val="0"/>
              <w:spacing w:line="251" w:lineRule="exact"/>
              <w:ind w:left="319"/>
              <w:rPr>
                <w:rFonts w:eastAsia="Arial"/>
                <w:szCs w:val="22"/>
              </w:rPr>
            </w:pPr>
            <w:r>
              <w:rPr>
                <w:rFonts w:eastAsia="Arial"/>
                <w:szCs w:val="22"/>
              </w:rPr>
              <w:t>76%</w:t>
            </w:r>
          </w:p>
        </w:tc>
      </w:tr>
      <w:tr w:rsidR="00E86736" w:rsidRPr="00D17E92" w14:paraId="4A6198D5" w14:textId="77777777" w:rsidTr="00D0219C">
        <w:trPr>
          <w:trHeight w:hRule="exact" w:val="714"/>
        </w:trPr>
        <w:tc>
          <w:tcPr>
            <w:tcW w:w="3686" w:type="dxa"/>
          </w:tcPr>
          <w:p w14:paraId="77B079D1" w14:textId="77777777" w:rsidR="00E86736" w:rsidRPr="00D5359F" w:rsidRDefault="00E86736" w:rsidP="00E86736">
            <w:pPr>
              <w:widowControl w:val="0"/>
              <w:ind w:left="103" w:right="331"/>
              <w:rPr>
                <w:sz w:val="21"/>
                <w:szCs w:val="21"/>
              </w:rPr>
            </w:pPr>
            <w:r w:rsidRPr="00D5359F">
              <w:rPr>
                <w:sz w:val="21"/>
                <w:szCs w:val="21"/>
              </w:rPr>
              <w:t xml:space="preserve">Staff perceptions of </w:t>
            </w:r>
            <w:r>
              <w:rPr>
                <w:sz w:val="21"/>
                <w:szCs w:val="21"/>
              </w:rPr>
              <w:t>agency engagement</w:t>
            </w:r>
          </w:p>
        </w:tc>
        <w:tc>
          <w:tcPr>
            <w:tcW w:w="851" w:type="dxa"/>
          </w:tcPr>
          <w:p w14:paraId="483E4E19" w14:textId="77777777" w:rsidR="00E86736" w:rsidRDefault="007B2CAA" w:rsidP="002A5B49">
            <w:pPr>
              <w:widowControl w:val="0"/>
              <w:spacing w:line="251" w:lineRule="exact"/>
              <w:ind w:left="103"/>
              <w:jc w:val="center"/>
              <w:rPr>
                <w:rFonts w:eastAsia="Arial"/>
                <w:szCs w:val="22"/>
              </w:rPr>
            </w:pPr>
            <w:r>
              <w:rPr>
                <w:rFonts w:eastAsia="Arial"/>
                <w:szCs w:val="22"/>
              </w:rPr>
              <w:t>7</w:t>
            </w:r>
          </w:p>
        </w:tc>
        <w:tc>
          <w:tcPr>
            <w:tcW w:w="1133" w:type="dxa"/>
          </w:tcPr>
          <w:p w14:paraId="1946E2A3" w14:textId="77777777" w:rsidR="00E86736" w:rsidRPr="00D5359F" w:rsidRDefault="001A3B52" w:rsidP="00471739">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993" w:type="dxa"/>
          </w:tcPr>
          <w:p w14:paraId="4F713A9D" w14:textId="66D1ADB8" w:rsidR="00E86736" w:rsidRPr="00D5359F" w:rsidRDefault="00FA6567" w:rsidP="00471739">
            <w:pPr>
              <w:widowControl w:val="0"/>
              <w:spacing w:line="243" w:lineRule="exact"/>
              <w:ind w:right="1"/>
              <w:jc w:val="center"/>
              <w:rPr>
                <w:rFonts w:ascii="Wingdings" w:eastAsia="Wingdings" w:hAnsi="Wingdings" w:cs="Wingdings"/>
                <w:szCs w:val="22"/>
              </w:rPr>
            </w:pPr>
            <w:r w:rsidRPr="00D5359F">
              <w:rPr>
                <w:rFonts w:eastAsia="Calibri" w:hAnsi="Calibri" w:cs="Times New Roman"/>
                <w:szCs w:val="22"/>
              </w:rPr>
              <w:t>-</w:t>
            </w:r>
          </w:p>
        </w:tc>
        <w:tc>
          <w:tcPr>
            <w:tcW w:w="1133" w:type="dxa"/>
            <w:shd w:val="clear" w:color="auto" w:fill="auto"/>
          </w:tcPr>
          <w:p w14:paraId="45E28A1A" w14:textId="77777777" w:rsidR="00E86736" w:rsidRDefault="00627EFF" w:rsidP="00471739">
            <w:pPr>
              <w:widowControl w:val="0"/>
              <w:spacing w:line="251" w:lineRule="exact"/>
              <w:ind w:left="6"/>
              <w:jc w:val="center"/>
              <w:rPr>
                <w:rFonts w:eastAsia="Calibri" w:hAnsi="Calibri" w:cs="Times New Roman"/>
                <w:szCs w:val="22"/>
              </w:rPr>
            </w:pPr>
            <w:r>
              <w:rPr>
                <w:rFonts w:eastAsia="Calibri" w:hAnsi="Calibri" w:cs="Times New Roman"/>
                <w:szCs w:val="22"/>
              </w:rPr>
              <w:t>63%</w:t>
            </w:r>
          </w:p>
        </w:tc>
        <w:tc>
          <w:tcPr>
            <w:tcW w:w="1276" w:type="dxa"/>
            <w:shd w:val="clear" w:color="auto" w:fill="FEDADD"/>
          </w:tcPr>
          <w:p w14:paraId="1ED8E4F5" w14:textId="77777777" w:rsidR="00E86736" w:rsidRDefault="001A3B52" w:rsidP="00471739">
            <w:pPr>
              <w:widowControl w:val="0"/>
              <w:spacing w:line="251" w:lineRule="exact"/>
              <w:ind w:left="6"/>
              <w:jc w:val="center"/>
              <w:rPr>
                <w:rFonts w:eastAsia="Arial"/>
                <w:szCs w:val="22"/>
              </w:rPr>
            </w:pPr>
            <w:r>
              <w:rPr>
                <w:rFonts w:eastAsia="Arial"/>
                <w:szCs w:val="22"/>
              </w:rPr>
              <w:t>-</w:t>
            </w:r>
          </w:p>
        </w:tc>
        <w:tc>
          <w:tcPr>
            <w:tcW w:w="1134" w:type="dxa"/>
            <w:shd w:val="clear" w:color="auto" w:fill="FEDADD"/>
          </w:tcPr>
          <w:p w14:paraId="01D458DC" w14:textId="77777777" w:rsidR="00E86736" w:rsidRDefault="007B2CAA" w:rsidP="00471739">
            <w:pPr>
              <w:widowControl w:val="0"/>
              <w:spacing w:line="251" w:lineRule="exact"/>
              <w:ind w:left="319"/>
              <w:rPr>
                <w:rFonts w:eastAsia="Arial"/>
                <w:szCs w:val="22"/>
              </w:rPr>
            </w:pPr>
            <w:r>
              <w:rPr>
                <w:rFonts w:eastAsia="Arial"/>
                <w:szCs w:val="22"/>
              </w:rPr>
              <w:t>81%</w:t>
            </w:r>
          </w:p>
        </w:tc>
      </w:tr>
      <w:tr w:rsidR="00E86736" w:rsidRPr="00D17E92" w14:paraId="7BC3042D" w14:textId="77777777" w:rsidTr="00DC6AB4">
        <w:trPr>
          <w:trHeight w:hRule="exact" w:val="646"/>
        </w:trPr>
        <w:tc>
          <w:tcPr>
            <w:tcW w:w="3686" w:type="dxa"/>
          </w:tcPr>
          <w:p w14:paraId="1D3103F7" w14:textId="77777777" w:rsidR="00E86736" w:rsidRPr="00D5359F" w:rsidRDefault="00E86736" w:rsidP="001A3B52">
            <w:pPr>
              <w:widowControl w:val="0"/>
              <w:ind w:left="103" w:right="331"/>
              <w:rPr>
                <w:sz w:val="21"/>
                <w:szCs w:val="21"/>
              </w:rPr>
            </w:pPr>
            <w:r w:rsidRPr="00D5359F">
              <w:rPr>
                <w:sz w:val="21"/>
                <w:szCs w:val="21"/>
              </w:rPr>
              <w:t>Staff perceptions of use of f</w:t>
            </w:r>
            <w:r>
              <w:rPr>
                <w:sz w:val="21"/>
                <w:szCs w:val="21"/>
              </w:rPr>
              <w:t xml:space="preserve">lexible </w:t>
            </w:r>
            <w:r w:rsidRPr="00D5359F">
              <w:rPr>
                <w:sz w:val="21"/>
                <w:szCs w:val="21"/>
              </w:rPr>
              <w:t>work arrangements</w:t>
            </w:r>
          </w:p>
        </w:tc>
        <w:tc>
          <w:tcPr>
            <w:tcW w:w="851" w:type="dxa"/>
          </w:tcPr>
          <w:p w14:paraId="7C71EA60" w14:textId="77777777" w:rsidR="00E86736" w:rsidRDefault="007B2CAA" w:rsidP="002A5B49">
            <w:pPr>
              <w:widowControl w:val="0"/>
              <w:spacing w:line="251" w:lineRule="exact"/>
              <w:ind w:left="103"/>
              <w:jc w:val="center"/>
              <w:rPr>
                <w:rFonts w:eastAsia="Arial"/>
                <w:szCs w:val="22"/>
              </w:rPr>
            </w:pPr>
            <w:r>
              <w:rPr>
                <w:rFonts w:eastAsia="Arial"/>
                <w:szCs w:val="22"/>
              </w:rPr>
              <w:t>7</w:t>
            </w:r>
          </w:p>
        </w:tc>
        <w:tc>
          <w:tcPr>
            <w:tcW w:w="1133" w:type="dxa"/>
          </w:tcPr>
          <w:p w14:paraId="3939684D" w14:textId="77777777" w:rsidR="00E86736" w:rsidRPr="00D5359F" w:rsidRDefault="001A3B52" w:rsidP="00471739">
            <w:pPr>
              <w:widowControl w:val="0"/>
              <w:spacing w:line="243" w:lineRule="exact"/>
              <w:ind w:right="1"/>
              <w:jc w:val="center"/>
              <w:rPr>
                <w:rFonts w:ascii="Wingdings" w:eastAsia="Wingdings" w:hAnsi="Wingdings" w:cs="Wingdings"/>
                <w:szCs w:val="22"/>
              </w:rPr>
            </w:pPr>
            <w:r w:rsidRPr="00D5359F">
              <w:rPr>
                <w:rFonts w:ascii="Wingdings" w:eastAsia="Wingdings" w:hAnsi="Wingdings" w:cs="Wingdings"/>
                <w:szCs w:val="22"/>
              </w:rPr>
              <w:t></w:t>
            </w:r>
          </w:p>
        </w:tc>
        <w:tc>
          <w:tcPr>
            <w:tcW w:w="993" w:type="dxa"/>
          </w:tcPr>
          <w:p w14:paraId="6A631C86" w14:textId="150246A9" w:rsidR="00E86736" w:rsidRPr="00D5359F" w:rsidRDefault="00FA6567" w:rsidP="00471739">
            <w:pPr>
              <w:widowControl w:val="0"/>
              <w:spacing w:line="243" w:lineRule="exact"/>
              <w:ind w:right="1"/>
              <w:jc w:val="center"/>
              <w:rPr>
                <w:rFonts w:ascii="Wingdings" w:eastAsia="Wingdings" w:hAnsi="Wingdings" w:cs="Wingdings"/>
                <w:szCs w:val="22"/>
              </w:rPr>
            </w:pPr>
            <w:r w:rsidRPr="00D5359F">
              <w:rPr>
                <w:rFonts w:eastAsia="Calibri" w:hAnsi="Calibri" w:cs="Times New Roman"/>
                <w:szCs w:val="22"/>
              </w:rPr>
              <w:t>-</w:t>
            </w:r>
          </w:p>
        </w:tc>
        <w:tc>
          <w:tcPr>
            <w:tcW w:w="1133" w:type="dxa"/>
            <w:shd w:val="clear" w:color="auto" w:fill="auto"/>
          </w:tcPr>
          <w:p w14:paraId="774A369D" w14:textId="77777777" w:rsidR="00E86736" w:rsidRDefault="00627EFF" w:rsidP="00471739">
            <w:pPr>
              <w:widowControl w:val="0"/>
              <w:spacing w:line="251" w:lineRule="exact"/>
              <w:ind w:left="6"/>
              <w:jc w:val="center"/>
              <w:rPr>
                <w:rFonts w:eastAsia="Calibri" w:hAnsi="Calibri" w:cs="Times New Roman"/>
                <w:szCs w:val="22"/>
              </w:rPr>
            </w:pPr>
            <w:r>
              <w:rPr>
                <w:rFonts w:eastAsia="Calibri" w:hAnsi="Calibri" w:cs="Times New Roman"/>
                <w:szCs w:val="22"/>
              </w:rPr>
              <w:t>67%</w:t>
            </w:r>
          </w:p>
        </w:tc>
        <w:tc>
          <w:tcPr>
            <w:tcW w:w="1276" w:type="dxa"/>
            <w:shd w:val="clear" w:color="auto" w:fill="FEDADD"/>
          </w:tcPr>
          <w:p w14:paraId="751E217D" w14:textId="77777777" w:rsidR="00E86736" w:rsidRDefault="001A3B52" w:rsidP="00471739">
            <w:pPr>
              <w:widowControl w:val="0"/>
              <w:spacing w:line="251" w:lineRule="exact"/>
              <w:ind w:left="6"/>
              <w:jc w:val="center"/>
              <w:rPr>
                <w:rFonts w:eastAsia="Arial"/>
                <w:szCs w:val="22"/>
              </w:rPr>
            </w:pPr>
            <w:r>
              <w:rPr>
                <w:rFonts w:eastAsia="Arial"/>
                <w:szCs w:val="22"/>
              </w:rPr>
              <w:t>-</w:t>
            </w:r>
          </w:p>
        </w:tc>
        <w:tc>
          <w:tcPr>
            <w:tcW w:w="1134" w:type="dxa"/>
            <w:shd w:val="clear" w:color="auto" w:fill="FEDADD"/>
          </w:tcPr>
          <w:p w14:paraId="1FF7AD60" w14:textId="77777777" w:rsidR="00E86736" w:rsidRDefault="007B2CAA" w:rsidP="00471739">
            <w:pPr>
              <w:widowControl w:val="0"/>
              <w:spacing w:line="251" w:lineRule="exact"/>
              <w:ind w:left="319"/>
              <w:rPr>
                <w:rFonts w:eastAsia="Arial"/>
                <w:szCs w:val="22"/>
              </w:rPr>
            </w:pPr>
            <w:r>
              <w:rPr>
                <w:rFonts w:eastAsia="Arial"/>
                <w:szCs w:val="22"/>
              </w:rPr>
              <w:t>73%</w:t>
            </w:r>
          </w:p>
        </w:tc>
      </w:tr>
    </w:tbl>
    <w:p w14:paraId="03843D6B" w14:textId="77777777" w:rsidR="00AD7B7A" w:rsidRPr="00D4001A" w:rsidRDefault="00AD7B7A" w:rsidP="00AD7B7A">
      <w:pPr>
        <w:pStyle w:val="NoteIndent"/>
        <w:numPr>
          <w:ilvl w:val="0"/>
          <w:numId w:val="0"/>
        </w:numPr>
        <w:spacing w:line="252" w:lineRule="exact"/>
        <w:ind w:left="360" w:right="223" w:hanging="360"/>
        <w:rPr>
          <w:rFonts w:eastAsia="Cambria"/>
          <w:b/>
          <w:sz w:val="22"/>
          <w:szCs w:val="22"/>
        </w:rPr>
      </w:pPr>
      <w:r w:rsidRPr="00D4001A">
        <w:rPr>
          <w:rFonts w:eastAsia="Cambria"/>
          <w:b/>
          <w:sz w:val="22"/>
          <w:szCs w:val="22"/>
        </w:rPr>
        <w:t>Key:</w:t>
      </w:r>
    </w:p>
    <w:p w14:paraId="0334EA25" w14:textId="77777777" w:rsidR="00AD7B7A" w:rsidRPr="00D4001A" w:rsidRDefault="00AD7B7A" w:rsidP="00AD7B7A">
      <w:pPr>
        <w:pStyle w:val="NoteIndent"/>
        <w:widowControl w:val="0"/>
        <w:numPr>
          <w:ilvl w:val="0"/>
          <w:numId w:val="0"/>
        </w:numPr>
        <w:tabs>
          <w:tab w:val="left" w:pos="1985"/>
        </w:tabs>
        <w:spacing w:after="0"/>
        <w:ind w:left="360" w:right="557" w:hanging="360"/>
        <w:rPr>
          <w:rFonts w:eastAsia="Cambria"/>
          <w:sz w:val="22"/>
          <w:szCs w:val="22"/>
        </w:rPr>
      </w:pPr>
      <w:r w:rsidRPr="00D4001A">
        <w:rPr>
          <w:rFonts w:eastAsia="Cambria"/>
          <w:sz w:val="22"/>
          <w:szCs w:val="22"/>
        </w:rPr>
        <w:t xml:space="preserve">-                        not available / not applicable </w:t>
      </w:r>
    </w:p>
    <w:p w14:paraId="2AB3E86B" w14:textId="70615577" w:rsidR="00D77A7E" w:rsidRDefault="00D77A7E" w:rsidP="00AD7B7A">
      <w:pPr>
        <w:pStyle w:val="NoteIndent"/>
        <w:widowControl w:val="0"/>
        <w:numPr>
          <w:ilvl w:val="0"/>
          <w:numId w:val="0"/>
        </w:numPr>
        <w:tabs>
          <w:tab w:val="left" w:pos="1985"/>
        </w:tabs>
        <w:spacing w:after="0"/>
        <w:ind w:left="360" w:right="557" w:hanging="360"/>
        <w:rPr>
          <w:rFonts w:eastAsia="Cambria"/>
          <w:sz w:val="22"/>
          <w:szCs w:val="22"/>
        </w:rPr>
      </w:pPr>
      <w:r>
        <w:rPr>
          <w:rFonts w:eastAsia="Cambria"/>
          <w:sz w:val="22"/>
          <w:szCs w:val="22"/>
        </w:rPr>
        <w:t>IGEM                Inspector-General Emergency Management</w:t>
      </w:r>
    </w:p>
    <w:p w14:paraId="200750BB" w14:textId="577E7DFB" w:rsidR="00AD7B7A" w:rsidRPr="00D4001A" w:rsidRDefault="00AD7B7A" w:rsidP="00AD7B7A">
      <w:pPr>
        <w:pStyle w:val="NoteIndent"/>
        <w:widowControl w:val="0"/>
        <w:numPr>
          <w:ilvl w:val="0"/>
          <w:numId w:val="0"/>
        </w:numPr>
        <w:tabs>
          <w:tab w:val="left" w:pos="1985"/>
        </w:tabs>
        <w:spacing w:after="0"/>
        <w:ind w:left="360" w:right="557" w:hanging="360"/>
        <w:rPr>
          <w:rFonts w:eastAsia="Cambria"/>
          <w:sz w:val="22"/>
          <w:szCs w:val="22"/>
        </w:rPr>
      </w:pPr>
      <w:r w:rsidRPr="00D4001A">
        <w:rPr>
          <w:rFonts w:eastAsia="Cambria"/>
          <w:sz w:val="22"/>
          <w:szCs w:val="22"/>
        </w:rPr>
        <w:t>SDS                  Service Delivery Statement</w:t>
      </w:r>
    </w:p>
    <w:p w14:paraId="53B0CDC2" w14:textId="0FD5CC55" w:rsidR="00EC1A80" w:rsidRDefault="00AD7B7A" w:rsidP="00DC6AB4">
      <w:pPr>
        <w:pStyle w:val="NoteIndent"/>
        <w:widowControl w:val="0"/>
        <w:numPr>
          <w:ilvl w:val="0"/>
          <w:numId w:val="0"/>
        </w:numPr>
        <w:tabs>
          <w:tab w:val="left" w:pos="1985"/>
        </w:tabs>
        <w:spacing w:after="0"/>
        <w:ind w:left="360" w:right="557" w:hanging="360"/>
        <w:rPr>
          <w:rFonts w:eastAsia="Cambria"/>
          <w:i/>
          <w:sz w:val="22"/>
          <w:szCs w:val="22"/>
        </w:rPr>
      </w:pPr>
      <w:r w:rsidRPr="00D4001A">
        <w:rPr>
          <w:rFonts w:eastAsia="Cambria"/>
          <w:sz w:val="22"/>
          <w:szCs w:val="22"/>
        </w:rPr>
        <w:t xml:space="preserve">Strategic Plan   </w:t>
      </w:r>
      <w:r w:rsidRPr="00FA6567">
        <w:rPr>
          <w:rFonts w:eastAsia="Cambria"/>
          <w:i/>
          <w:sz w:val="22"/>
          <w:szCs w:val="22"/>
        </w:rPr>
        <w:t xml:space="preserve">Office of the </w:t>
      </w:r>
      <w:r w:rsidR="00FA6567">
        <w:rPr>
          <w:rFonts w:eastAsia="Cambria"/>
          <w:i/>
          <w:sz w:val="22"/>
          <w:szCs w:val="22"/>
        </w:rPr>
        <w:t>IGEM</w:t>
      </w:r>
      <w:r w:rsidRPr="00FA6567">
        <w:rPr>
          <w:rFonts w:eastAsia="Cambria"/>
          <w:i/>
          <w:sz w:val="22"/>
          <w:szCs w:val="22"/>
        </w:rPr>
        <w:t xml:space="preserve"> Strategic Plan 2017-</w:t>
      </w:r>
      <w:r w:rsidR="00FA6567">
        <w:rPr>
          <w:rFonts w:eastAsia="Cambria"/>
          <w:i/>
          <w:sz w:val="22"/>
          <w:szCs w:val="22"/>
        </w:rPr>
        <w:t>21</w:t>
      </w:r>
    </w:p>
    <w:p w14:paraId="461E3F58" w14:textId="77777777" w:rsidR="00FA6567" w:rsidRDefault="00FA6567" w:rsidP="00DC6AB4">
      <w:pPr>
        <w:pStyle w:val="NoteIndent"/>
        <w:widowControl w:val="0"/>
        <w:numPr>
          <w:ilvl w:val="0"/>
          <w:numId w:val="0"/>
        </w:numPr>
        <w:tabs>
          <w:tab w:val="left" w:pos="1985"/>
        </w:tabs>
        <w:spacing w:after="0"/>
        <w:ind w:left="360" w:right="557" w:hanging="360"/>
        <w:rPr>
          <w:b/>
          <w:szCs w:val="22"/>
        </w:rPr>
      </w:pPr>
    </w:p>
    <w:p w14:paraId="40D26252" w14:textId="77777777" w:rsidR="00607589" w:rsidRPr="00D4001A" w:rsidRDefault="00607589" w:rsidP="00D5359F">
      <w:pPr>
        <w:pStyle w:val="Note"/>
        <w:spacing w:before="120" w:after="120" w:line="240" w:lineRule="auto"/>
        <w:rPr>
          <w:b/>
          <w:sz w:val="22"/>
        </w:rPr>
      </w:pPr>
      <w:r w:rsidRPr="00D4001A">
        <w:rPr>
          <w:b/>
          <w:sz w:val="22"/>
        </w:rPr>
        <w:lastRenderedPageBreak/>
        <w:t>Notes:</w:t>
      </w:r>
    </w:p>
    <w:p w14:paraId="6212AB45" w14:textId="77777777" w:rsidR="00607589" w:rsidRPr="00DC6AB4" w:rsidRDefault="00607589" w:rsidP="0017125F">
      <w:pPr>
        <w:pStyle w:val="NoteIndent"/>
        <w:numPr>
          <w:ilvl w:val="0"/>
          <w:numId w:val="25"/>
        </w:numPr>
        <w:spacing w:before="120" w:after="120" w:line="240" w:lineRule="auto"/>
        <w:rPr>
          <w:sz w:val="22"/>
          <w:szCs w:val="22"/>
        </w:rPr>
      </w:pPr>
      <w:r w:rsidRPr="00DC6AB4">
        <w:rPr>
          <w:sz w:val="22"/>
          <w:szCs w:val="22"/>
        </w:rPr>
        <w:t xml:space="preserve">This service standard </w:t>
      </w:r>
      <w:r w:rsidR="00D4001A" w:rsidRPr="00DC6AB4">
        <w:rPr>
          <w:sz w:val="22"/>
          <w:szCs w:val="22"/>
        </w:rPr>
        <w:t>assesses overall satisfaction with the Office</w:t>
      </w:r>
      <w:r w:rsidR="00F618A9" w:rsidRPr="00DC6AB4">
        <w:rPr>
          <w:sz w:val="22"/>
          <w:szCs w:val="22"/>
        </w:rPr>
        <w:t xml:space="preserve"> and is measured as part of an annual customer survey</w:t>
      </w:r>
      <w:r w:rsidRPr="00DC6AB4">
        <w:rPr>
          <w:sz w:val="22"/>
          <w:szCs w:val="22"/>
        </w:rPr>
        <w:t xml:space="preserve">. Customers include the Minister, </w:t>
      </w:r>
      <w:r w:rsidR="005903B9" w:rsidRPr="00DC6AB4">
        <w:rPr>
          <w:sz w:val="22"/>
          <w:szCs w:val="22"/>
        </w:rPr>
        <w:t>S</w:t>
      </w:r>
      <w:r w:rsidRPr="00DC6AB4">
        <w:rPr>
          <w:sz w:val="22"/>
          <w:szCs w:val="22"/>
        </w:rPr>
        <w:t>tate and local government stakeholders with a role in disaster and emergency management.</w:t>
      </w:r>
      <w:r w:rsidR="0077095E" w:rsidRPr="00DC6AB4">
        <w:rPr>
          <w:sz w:val="22"/>
          <w:szCs w:val="22"/>
        </w:rPr>
        <w:t xml:space="preserve"> </w:t>
      </w:r>
      <w:bookmarkStart w:id="48" w:name="_Toc417936512"/>
      <w:r w:rsidR="00D5359F" w:rsidRPr="00DC6AB4">
        <w:rPr>
          <w:sz w:val="22"/>
          <w:szCs w:val="22"/>
        </w:rPr>
        <w:t>It</w:t>
      </w:r>
      <w:r w:rsidR="00D4001A" w:rsidRPr="00DC6AB4">
        <w:rPr>
          <w:sz w:val="22"/>
          <w:szCs w:val="22"/>
        </w:rPr>
        <w:t xml:space="preserve"> </w:t>
      </w:r>
      <w:r w:rsidR="00C2440C" w:rsidRPr="00DC6AB4">
        <w:rPr>
          <w:sz w:val="22"/>
          <w:szCs w:val="22"/>
        </w:rPr>
        <w:t xml:space="preserve">measures </w:t>
      </w:r>
      <w:r w:rsidRPr="00DC6AB4">
        <w:rPr>
          <w:sz w:val="22"/>
          <w:szCs w:val="22"/>
        </w:rPr>
        <w:t>the number of respondents who indicated they were either ‘very satisfied’ or ‘satisfied’ (on a 5</w:t>
      </w:r>
      <w:r w:rsidR="005B3D22" w:rsidRPr="00DC6AB4">
        <w:rPr>
          <w:sz w:val="22"/>
          <w:szCs w:val="22"/>
        </w:rPr>
        <w:t>-</w:t>
      </w:r>
      <w:r w:rsidRPr="00DC6AB4">
        <w:rPr>
          <w:sz w:val="22"/>
          <w:szCs w:val="22"/>
        </w:rPr>
        <w:t xml:space="preserve">point scale ranging from </w:t>
      </w:r>
      <w:r w:rsidR="00D4001A" w:rsidRPr="00DC6AB4">
        <w:rPr>
          <w:sz w:val="22"/>
          <w:szCs w:val="22"/>
        </w:rPr>
        <w:t>‘</w:t>
      </w:r>
      <w:r w:rsidRPr="00DC6AB4">
        <w:rPr>
          <w:sz w:val="22"/>
          <w:szCs w:val="22"/>
        </w:rPr>
        <w:t>very dissatisfied</w:t>
      </w:r>
      <w:r w:rsidR="00D4001A" w:rsidRPr="00DC6AB4">
        <w:rPr>
          <w:sz w:val="22"/>
          <w:szCs w:val="22"/>
        </w:rPr>
        <w:t>’</w:t>
      </w:r>
      <w:r w:rsidRPr="00DC6AB4">
        <w:rPr>
          <w:sz w:val="22"/>
          <w:szCs w:val="22"/>
        </w:rPr>
        <w:t xml:space="preserve"> to </w:t>
      </w:r>
      <w:r w:rsidR="00D4001A" w:rsidRPr="00DC6AB4">
        <w:rPr>
          <w:sz w:val="22"/>
          <w:szCs w:val="22"/>
        </w:rPr>
        <w:t>‘</w:t>
      </w:r>
      <w:r w:rsidRPr="00DC6AB4">
        <w:rPr>
          <w:sz w:val="22"/>
          <w:szCs w:val="22"/>
        </w:rPr>
        <w:t>very satisfied</w:t>
      </w:r>
      <w:r w:rsidR="005B3D22" w:rsidRPr="00DC6AB4">
        <w:rPr>
          <w:sz w:val="22"/>
          <w:szCs w:val="22"/>
        </w:rPr>
        <w:t>’</w:t>
      </w:r>
      <w:r w:rsidRPr="00DC6AB4">
        <w:rPr>
          <w:sz w:val="22"/>
          <w:szCs w:val="22"/>
        </w:rPr>
        <w:t>) with the services and advice provided by the Office represented as a percentage of the total number of responses received.</w:t>
      </w:r>
      <w:r w:rsidR="00D4001A" w:rsidRPr="00DC6AB4">
        <w:rPr>
          <w:sz w:val="22"/>
          <w:szCs w:val="22"/>
        </w:rPr>
        <w:t xml:space="preserve"> </w:t>
      </w:r>
    </w:p>
    <w:p w14:paraId="01415AD9" w14:textId="3B756709" w:rsidR="00531D53" w:rsidRPr="00235D2A" w:rsidRDefault="00C2440C" w:rsidP="0017125F">
      <w:pPr>
        <w:pStyle w:val="NoteIndent"/>
        <w:numPr>
          <w:ilvl w:val="0"/>
          <w:numId w:val="25"/>
        </w:numPr>
        <w:spacing w:before="120" w:after="120" w:line="240" w:lineRule="auto"/>
        <w:rPr>
          <w:sz w:val="22"/>
          <w:szCs w:val="22"/>
        </w:rPr>
      </w:pPr>
      <w:r w:rsidRPr="00DC6AB4">
        <w:rPr>
          <w:sz w:val="22"/>
          <w:szCs w:val="22"/>
        </w:rPr>
        <w:t xml:space="preserve">This new SDS </w:t>
      </w:r>
      <w:r w:rsidR="00D5359F" w:rsidRPr="00DC6AB4">
        <w:rPr>
          <w:sz w:val="22"/>
          <w:szCs w:val="22"/>
        </w:rPr>
        <w:t xml:space="preserve">service standard </w:t>
      </w:r>
      <w:r w:rsidRPr="00DC6AB4">
        <w:rPr>
          <w:sz w:val="22"/>
          <w:szCs w:val="22"/>
        </w:rPr>
        <w:t xml:space="preserve">for 2017-18 measures </w:t>
      </w:r>
      <w:r w:rsidR="00D4001A" w:rsidRPr="00DC6AB4">
        <w:rPr>
          <w:sz w:val="22"/>
          <w:szCs w:val="22"/>
        </w:rPr>
        <w:t>the average cost to complete a tier three review</w:t>
      </w:r>
      <w:r w:rsidRPr="00DC6AB4">
        <w:rPr>
          <w:sz w:val="22"/>
          <w:szCs w:val="22"/>
        </w:rPr>
        <w:t xml:space="preserve">. </w:t>
      </w:r>
      <w:r w:rsidR="00D5359F" w:rsidRPr="00DC6AB4">
        <w:rPr>
          <w:sz w:val="22"/>
          <w:szCs w:val="22"/>
        </w:rPr>
        <w:t xml:space="preserve">Tier three activities aim to assess the effectiveness of a defined aspect of disaster management in Queensland, providing a higher level of confidence in the matter being assessed. </w:t>
      </w:r>
      <w:r w:rsidR="00C22C45" w:rsidRPr="00DC6AB4">
        <w:rPr>
          <w:sz w:val="22"/>
          <w:szCs w:val="22"/>
        </w:rPr>
        <w:t xml:space="preserve">The 2017-18 Actual includes the cost of completing </w:t>
      </w:r>
      <w:r w:rsidR="00C22C45" w:rsidRPr="00755978">
        <w:rPr>
          <w:i/>
          <w:sz w:val="22"/>
          <w:szCs w:val="22"/>
        </w:rPr>
        <w:t>The Cyclone Debbie Review</w:t>
      </w:r>
      <w:r w:rsidR="00C22C45" w:rsidRPr="00DC6AB4">
        <w:rPr>
          <w:sz w:val="22"/>
          <w:szCs w:val="22"/>
        </w:rPr>
        <w:t xml:space="preserve">. This review was undertaken at the direction of the Minister in response to an emerging event. The scope of the review was broader than the standard planning parameters of a tier three review, attracting additional time and resources and therefore cost. </w:t>
      </w:r>
      <w:r w:rsidRPr="00DC6AB4">
        <w:rPr>
          <w:sz w:val="22"/>
          <w:szCs w:val="22"/>
        </w:rPr>
        <w:t xml:space="preserve">Costs of completing reviews such as contractors, venue and equipment </w:t>
      </w:r>
      <w:r w:rsidR="00D4001A" w:rsidRPr="00DC6AB4">
        <w:rPr>
          <w:sz w:val="22"/>
          <w:szCs w:val="22"/>
        </w:rPr>
        <w:t>hire, legal advice, staff salaries</w:t>
      </w:r>
      <w:r w:rsidRPr="00DC6AB4">
        <w:rPr>
          <w:sz w:val="22"/>
          <w:szCs w:val="22"/>
        </w:rPr>
        <w:t xml:space="preserve">, travel, accommodation and overheads are included in this measure. </w:t>
      </w:r>
      <w:bookmarkEnd w:id="48"/>
      <w:r w:rsidR="00275CCA" w:rsidRPr="00DC6AB4">
        <w:rPr>
          <w:sz w:val="22"/>
          <w:szCs w:val="22"/>
        </w:rPr>
        <w:t>T</w:t>
      </w:r>
      <w:r w:rsidR="009554CB" w:rsidRPr="00DC6AB4">
        <w:rPr>
          <w:sz w:val="22"/>
          <w:szCs w:val="22"/>
        </w:rPr>
        <w:t>hree reviews were completed in 2017-18</w:t>
      </w:r>
      <w:r w:rsidR="007E0ABA" w:rsidRPr="00DC6AB4">
        <w:rPr>
          <w:sz w:val="22"/>
          <w:szCs w:val="22"/>
        </w:rPr>
        <w:t xml:space="preserve">, </w:t>
      </w:r>
      <w:r w:rsidR="00163A12" w:rsidRPr="00DC6AB4">
        <w:rPr>
          <w:sz w:val="22"/>
          <w:szCs w:val="22"/>
        </w:rPr>
        <w:t>as detailed in</w:t>
      </w:r>
      <w:r w:rsidR="00C22C45" w:rsidRPr="00DC6AB4">
        <w:rPr>
          <w:sz w:val="22"/>
          <w:szCs w:val="22"/>
        </w:rPr>
        <w:t xml:space="preserve"> the </w:t>
      </w:r>
      <w:r w:rsidR="00C22C45" w:rsidRPr="00755978">
        <w:rPr>
          <w:sz w:val="22"/>
          <w:szCs w:val="22"/>
        </w:rPr>
        <w:t xml:space="preserve">Program of </w:t>
      </w:r>
      <w:r w:rsidR="007E0ABA" w:rsidRPr="00755978">
        <w:rPr>
          <w:sz w:val="22"/>
          <w:szCs w:val="22"/>
        </w:rPr>
        <w:t>r</w:t>
      </w:r>
      <w:r w:rsidR="00C22C45" w:rsidRPr="00755978">
        <w:rPr>
          <w:sz w:val="22"/>
          <w:szCs w:val="22"/>
        </w:rPr>
        <w:t>eviews</w:t>
      </w:r>
      <w:r w:rsidR="00C22C45" w:rsidRPr="00DC6AB4">
        <w:rPr>
          <w:sz w:val="22"/>
          <w:szCs w:val="22"/>
        </w:rPr>
        <w:t xml:space="preserve"> </w:t>
      </w:r>
      <w:r w:rsidR="007E0ABA" w:rsidRPr="00DC6AB4">
        <w:rPr>
          <w:sz w:val="22"/>
          <w:szCs w:val="22"/>
        </w:rPr>
        <w:t>(</w:t>
      </w:r>
      <w:r w:rsidR="007E0ABA" w:rsidRPr="00527E5F">
        <w:rPr>
          <w:sz w:val="22"/>
          <w:szCs w:val="22"/>
        </w:rPr>
        <w:t>refer page</w:t>
      </w:r>
      <w:r w:rsidR="00527E5F" w:rsidRPr="00527E5F">
        <w:rPr>
          <w:sz w:val="22"/>
          <w:szCs w:val="22"/>
        </w:rPr>
        <w:t xml:space="preserve">s </w:t>
      </w:r>
      <w:r w:rsidR="00527E5F" w:rsidRPr="00755978">
        <w:rPr>
          <w:sz w:val="22"/>
          <w:szCs w:val="22"/>
        </w:rPr>
        <w:t>14 to 16</w:t>
      </w:r>
      <w:r w:rsidR="007E0ABA" w:rsidRPr="00DC6AB4">
        <w:rPr>
          <w:sz w:val="22"/>
          <w:szCs w:val="22"/>
        </w:rPr>
        <w:t>)</w:t>
      </w:r>
      <w:r w:rsidR="009554CB" w:rsidRPr="00DC6AB4">
        <w:rPr>
          <w:sz w:val="22"/>
          <w:szCs w:val="22"/>
        </w:rPr>
        <w:t xml:space="preserve">. </w:t>
      </w:r>
      <w:r w:rsidR="00C22C45" w:rsidRPr="00DC6AB4">
        <w:rPr>
          <w:sz w:val="22"/>
          <w:szCs w:val="22"/>
        </w:rPr>
        <w:t xml:space="preserve">The </w:t>
      </w:r>
      <w:r w:rsidR="007E0ABA" w:rsidRPr="00755978">
        <w:rPr>
          <w:i/>
          <w:sz w:val="22"/>
          <w:szCs w:val="22"/>
        </w:rPr>
        <w:t>Review of the efficacy of re</w:t>
      </w:r>
      <w:r w:rsidR="00B753A9" w:rsidRPr="00755978">
        <w:rPr>
          <w:i/>
          <w:sz w:val="22"/>
          <w:szCs w:val="22"/>
        </w:rPr>
        <w:t xml:space="preserve">covery </w:t>
      </w:r>
      <w:r w:rsidR="007E0ABA" w:rsidRPr="00755978">
        <w:rPr>
          <w:i/>
          <w:sz w:val="22"/>
          <w:szCs w:val="22"/>
        </w:rPr>
        <w:t>governance</w:t>
      </w:r>
      <w:r w:rsidR="007E0ABA" w:rsidRPr="00DC6AB4">
        <w:rPr>
          <w:sz w:val="22"/>
          <w:szCs w:val="22"/>
        </w:rPr>
        <w:t xml:space="preserve">, </w:t>
      </w:r>
      <w:r w:rsidR="00163A12" w:rsidRPr="00DC6AB4">
        <w:rPr>
          <w:sz w:val="22"/>
          <w:szCs w:val="22"/>
        </w:rPr>
        <w:t xml:space="preserve">forecast in </w:t>
      </w:r>
      <w:r w:rsidR="00DC6AB4">
        <w:rPr>
          <w:sz w:val="22"/>
          <w:szCs w:val="22"/>
        </w:rPr>
        <w:t xml:space="preserve">the Office’s </w:t>
      </w:r>
      <w:r w:rsidR="00BD4611">
        <w:rPr>
          <w:sz w:val="22"/>
          <w:szCs w:val="22"/>
        </w:rPr>
        <w:t>SDS</w:t>
      </w:r>
      <w:r w:rsidR="00163A12" w:rsidRPr="00DC6AB4">
        <w:rPr>
          <w:sz w:val="22"/>
          <w:szCs w:val="22"/>
        </w:rPr>
        <w:t xml:space="preserve"> to be completed in 2017-18,</w:t>
      </w:r>
      <w:r w:rsidR="00C22C45" w:rsidRPr="00DC6AB4">
        <w:rPr>
          <w:sz w:val="22"/>
          <w:szCs w:val="22"/>
        </w:rPr>
        <w:t xml:space="preserve"> </w:t>
      </w:r>
      <w:r w:rsidR="00DC6AB4" w:rsidRPr="00235D2A">
        <w:rPr>
          <w:sz w:val="22"/>
          <w:szCs w:val="22"/>
        </w:rPr>
        <w:t xml:space="preserve">is </w:t>
      </w:r>
      <w:r w:rsidR="001A5642">
        <w:rPr>
          <w:sz w:val="22"/>
          <w:szCs w:val="22"/>
        </w:rPr>
        <w:t xml:space="preserve">scheduled for completion </w:t>
      </w:r>
      <w:r w:rsidR="00DC6AB4" w:rsidRPr="00235D2A">
        <w:rPr>
          <w:sz w:val="22"/>
          <w:szCs w:val="22"/>
        </w:rPr>
        <w:t xml:space="preserve">by September 2018. </w:t>
      </w:r>
    </w:p>
    <w:p w14:paraId="4346F612" w14:textId="77777777" w:rsidR="007C7876" w:rsidRPr="00DC6AB4" w:rsidRDefault="00D5359F" w:rsidP="0017125F">
      <w:pPr>
        <w:pStyle w:val="NoteIndent"/>
        <w:numPr>
          <w:ilvl w:val="0"/>
          <w:numId w:val="25"/>
        </w:numPr>
        <w:spacing w:before="120" w:after="120" w:line="240" w:lineRule="auto"/>
        <w:rPr>
          <w:sz w:val="22"/>
          <w:szCs w:val="22"/>
        </w:rPr>
      </w:pPr>
      <w:r w:rsidRPr="00DC6AB4">
        <w:rPr>
          <w:sz w:val="22"/>
          <w:szCs w:val="22"/>
        </w:rPr>
        <w:t xml:space="preserve">This is a new measure in the </w:t>
      </w:r>
      <w:r w:rsidR="00E86736" w:rsidRPr="00DC6AB4">
        <w:rPr>
          <w:sz w:val="22"/>
          <w:szCs w:val="22"/>
        </w:rPr>
        <w:t xml:space="preserve">strategic plan. It is </w:t>
      </w:r>
      <w:r w:rsidR="00711435" w:rsidRPr="00DC6AB4">
        <w:rPr>
          <w:sz w:val="22"/>
          <w:szCs w:val="22"/>
        </w:rPr>
        <w:t>measured as part of an annual customer survey. It</w:t>
      </w:r>
      <w:r w:rsidR="00F618A9" w:rsidRPr="00DC6AB4">
        <w:rPr>
          <w:sz w:val="22"/>
          <w:szCs w:val="22"/>
        </w:rPr>
        <w:t xml:space="preserve"> represents the percentage of customers who were </w:t>
      </w:r>
      <w:r w:rsidR="00AA47DE" w:rsidRPr="00DC6AB4">
        <w:rPr>
          <w:sz w:val="22"/>
          <w:szCs w:val="22"/>
        </w:rPr>
        <w:t xml:space="preserve">‘very satisfied’ or ‘satisfied’ that advice provided as a result of a review was useful. </w:t>
      </w:r>
    </w:p>
    <w:p w14:paraId="145AF612" w14:textId="77777777" w:rsidR="00D5359F" w:rsidRPr="00DC6AB4" w:rsidRDefault="00711435" w:rsidP="0017125F">
      <w:pPr>
        <w:pStyle w:val="NoteIndent"/>
        <w:numPr>
          <w:ilvl w:val="0"/>
          <w:numId w:val="25"/>
        </w:numPr>
        <w:spacing w:before="120" w:after="120" w:line="240" w:lineRule="auto"/>
        <w:rPr>
          <w:sz w:val="22"/>
          <w:szCs w:val="22"/>
        </w:rPr>
      </w:pPr>
      <w:r w:rsidRPr="00DC6AB4">
        <w:rPr>
          <w:sz w:val="22"/>
          <w:szCs w:val="22"/>
        </w:rPr>
        <w:t xml:space="preserve">This is a new measure in the </w:t>
      </w:r>
      <w:r w:rsidR="00E86736" w:rsidRPr="00DC6AB4">
        <w:rPr>
          <w:sz w:val="22"/>
          <w:szCs w:val="22"/>
        </w:rPr>
        <w:t xml:space="preserve">strategic plan. It is </w:t>
      </w:r>
      <w:r w:rsidRPr="00DC6AB4">
        <w:rPr>
          <w:sz w:val="22"/>
          <w:szCs w:val="22"/>
        </w:rPr>
        <w:t xml:space="preserve">measured as part of an annual customer survey. It represents the percentage of customers who ‘strongly agree’ or ‘agree’ that the </w:t>
      </w:r>
      <w:r w:rsidR="00E86736" w:rsidRPr="00DC6AB4">
        <w:rPr>
          <w:sz w:val="22"/>
          <w:szCs w:val="22"/>
        </w:rPr>
        <w:t xml:space="preserve">content of the Office’s website is informative. </w:t>
      </w:r>
    </w:p>
    <w:p w14:paraId="009ED434" w14:textId="77777777" w:rsidR="00D5359F" w:rsidRPr="00DC6AB4" w:rsidRDefault="00D5359F" w:rsidP="0017125F">
      <w:pPr>
        <w:pStyle w:val="NoteIndent"/>
        <w:numPr>
          <w:ilvl w:val="0"/>
          <w:numId w:val="25"/>
        </w:numPr>
        <w:spacing w:before="120" w:after="120" w:line="240" w:lineRule="auto"/>
        <w:rPr>
          <w:sz w:val="22"/>
          <w:szCs w:val="22"/>
        </w:rPr>
      </w:pPr>
      <w:r w:rsidRPr="00DC6AB4">
        <w:rPr>
          <w:sz w:val="22"/>
          <w:szCs w:val="22"/>
        </w:rPr>
        <w:t>This is a new measure in the strategic plan.</w:t>
      </w:r>
      <w:r w:rsidR="00711435" w:rsidRPr="00DC6AB4">
        <w:rPr>
          <w:sz w:val="22"/>
          <w:szCs w:val="22"/>
        </w:rPr>
        <w:t xml:space="preserve"> </w:t>
      </w:r>
      <w:r w:rsidR="00E86736" w:rsidRPr="00DC6AB4">
        <w:rPr>
          <w:sz w:val="22"/>
          <w:szCs w:val="22"/>
        </w:rPr>
        <w:t xml:space="preserve">It </w:t>
      </w:r>
      <w:r w:rsidR="00711435" w:rsidRPr="00DC6AB4">
        <w:rPr>
          <w:sz w:val="22"/>
          <w:szCs w:val="22"/>
        </w:rPr>
        <w:t>is measured as part of an annual customer survey</w:t>
      </w:r>
      <w:r w:rsidR="00E86736" w:rsidRPr="00DC6AB4">
        <w:rPr>
          <w:sz w:val="22"/>
          <w:szCs w:val="22"/>
        </w:rPr>
        <w:t xml:space="preserve">. It represents the percentage of customers who were ‘very satisfied’ or ‘satisfied’ that information or advice given helped improve their business. </w:t>
      </w:r>
    </w:p>
    <w:p w14:paraId="683F8330" w14:textId="77777777" w:rsidR="00D5359F" w:rsidRPr="00DC6AB4" w:rsidRDefault="00D5359F" w:rsidP="0017125F">
      <w:pPr>
        <w:pStyle w:val="NoteIndent"/>
        <w:numPr>
          <w:ilvl w:val="0"/>
          <w:numId w:val="25"/>
        </w:numPr>
        <w:spacing w:before="120" w:after="120" w:line="240" w:lineRule="auto"/>
        <w:rPr>
          <w:sz w:val="22"/>
          <w:szCs w:val="22"/>
        </w:rPr>
      </w:pPr>
      <w:r w:rsidRPr="00DC6AB4">
        <w:rPr>
          <w:sz w:val="22"/>
          <w:szCs w:val="22"/>
        </w:rPr>
        <w:t>This is a new measure in the strategic plan.</w:t>
      </w:r>
      <w:r w:rsidR="00711435" w:rsidRPr="00DC6AB4">
        <w:rPr>
          <w:sz w:val="22"/>
          <w:szCs w:val="22"/>
        </w:rPr>
        <w:t xml:space="preserve"> </w:t>
      </w:r>
      <w:r w:rsidR="00E86736" w:rsidRPr="00DC6AB4">
        <w:rPr>
          <w:sz w:val="22"/>
          <w:szCs w:val="22"/>
        </w:rPr>
        <w:t xml:space="preserve">It is </w:t>
      </w:r>
      <w:r w:rsidR="00711435" w:rsidRPr="00DC6AB4">
        <w:rPr>
          <w:sz w:val="22"/>
          <w:szCs w:val="22"/>
        </w:rPr>
        <w:t>measured as part of an annual customer survey</w:t>
      </w:r>
      <w:r w:rsidR="00E86736" w:rsidRPr="00DC6AB4">
        <w:rPr>
          <w:sz w:val="22"/>
          <w:szCs w:val="22"/>
        </w:rPr>
        <w:t xml:space="preserve">. It represents the percentage of customers who were ‘very satisfied’ or ‘satisfied’ that the Office’s staff were professional. </w:t>
      </w:r>
    </w:p>
    <w:p w14:paraId="6798C066" w14:textId="09B5E2AF" w:rsidR="00D5359F" w:rsidRPr="00DC6AB4" w:rsidRDefault="00D5359F" w:rsidP="0017125F">
      <w:pPr>
        <w:pStyle w:val="NoteIndent"/>
        <w:numPr>
          <w:ilvl w:val="0"/>
          <w:numId w:val="25"/>
        </w:numPr>
        <w:spacing w:before="120" w:after="120" w:line="240" w:lineRule="auto"/>
        <w:rPr>
          <w:sz w:val="22"/>
          <w:szCs w:val="22"/>
        </w:rPr>
      </w:pPr>
      <w:r w:rsidRPr="00DC6AB4">
        <w:rPr>
          <w:sz w:val="22"/>
          <w:szCs w:val="22"/>
        </w:rPr>
        <w:t xml:space="preserve">This is a new measure in the strategic plan. </w:t>
      </w:r>
      <w:r w:rsidR="00E86736" w:rsidRPr="00DC6AB4">
        <w:rPr>
          <w:sz w:val="22"/>
          <w:szCs w:val="22"/>
        </w:rPr>
        <w:t xml:space="preserve">It is measured as part of the annual Working for Queensland </w:t>
      </w:r>
      <w:r w:rsidR="00527E5F">
        <w:rPr>
          <w:sz w:val="22"/>
          <w:szCs w:val="22"/>
        </w:rPr>
        <w:t>e</w:t>
      </w:r>
      <w:r w:rsidR="00E86736" w:rsidRPr="00DC6AB4">
        <w:rPr>
          <w:sz w:val="22"/>
          <w:szCs w:val="22"/>
        </w:rPr>
        <w:t xml:space="preserve">mployee </w:t>
      </w:r>
      <w:r w:rsidR="00527E5F">
        <w:rPr>
          <w:sz w:val="22"/>
          <w:szCs w:val="22"/>
        </w:rPr>
        <w:t>o</w:t>
      </w:r>
      <w:r w:rsidR="00E86736" w:rsidRPr="00DC6AB4">
        <w:rPr>
          <w:sz w:val="22"/>
          <w:szCs w:val="22"/>
        </w:rPr>
        <w:t xml:space="preserve">pinion </w:t>
      </w:r>
      <w:r w:rsidR="00527E5F">
        <w:rPr>
          <w:sz w:val="22"/>
          <w:szCs w:val="22"/>
        </w:rPr>
        <w:t>s</w:t>
      </w:r>
      <w:r w:rsidR="00E86736" w:rsidRPr="00DC6AB4">
        <w:rPr>
          <w:sz w:val="22"/>
          <w:szCs w:val="22"/>
        </w:rPr>
        <w:t>urvey</w:t>
      </w:r>
      <w:r w:rsidR="007B2CAA" w:rsidRPr="00DC6AB4">
        <w:rPr>
          <w:sz w:val="22"/>
          <w:szCs w:val="22"/>
        </w:rPr>
        <w:t xml:space="preserve"> which measures workplace climate</w:t>
      </w:r>
      <w:r w:rsidR="0084442D">
        <w:rPr>
          <w:sz w:val="22"/>
          <w:szCs w:val="22"/>
        </w:rPr>
        <w:t xml:space="preserve"> and use of flexible work options</w:t>
      </w:r>
      <w:r w:rsidR="007B2CAA" w:rsidRPr="00DC6AB4">
        <w:rPr>
          <w:sz w:val="22"/>
          <w:szCs w:val="22"/>
        </w:rPr>
        <w:t xml:space="preserve">. </w:t>
      </w:r>
    </w:p>
    <w:p w14:paraId="6A19E6F0" w14:textId="77777777" w:rsidR="00531D53" w:rsidRPr="00531D53" w:rsidRDefault="00531D53" w:rsidP="00531D53"/>
    <w:p w14:paraId="7EBD75E0" w14:textId="77777777" w:rsidR="004276A9" w:rsidRDefault="004276A9" w:rsidP="002979E6">
      <w:pPr>
        <w:widowControl w:val="0"/>
      </w:pPr>
      <w:r>
        <w:br w:type="page"/>
      </w:r>
    </w:p>
    <w:p w14:paraId="456019C5" w14:textId="77777777" w:rsidR="00405941" w:rsidRPr="001F5A45" w:rsidRDefault="00DD7E50" w:rsidP="00BE328A">
      <w:pPr>
        <w:pStyle w:val="Heading2"/>
      </w:pPr>
      <w:bookmarkStart w:id="49" w:name="_Toc522266464"/>
      <w:bookmarkStart w:id="50" w:name="_Toc524519410"/>
      <w:r>
        <w:lastRenderedPageBreak/>
        <w:t>201</w:t>
      </w:r>
      <w:r w:rsidR="007F0709">
        <w:t>7</w:t>
      </w:r>
      <w:r>
        <w:t>-1</w:t>
      </w:r>
      <w:r w:rsidR="007F0709">
        <w:t>8</w:t>
      </w:r>
      <w:r w:rsidR="00405941" w:rsidRPr="00661862">
        <w:t xml:space="preserve"> Highlights</w:t>
      </w:r>
      <w:bookmarkEnd w:id="45"/>
      <w:bookmarkEnd w:id="46"/>
      <w:bookmarkEnd w:id="47"/>
      <w:bookmarkEnd w:id="49"/>
      <w:bookmarkEnd w:id="50"/>
    </w:p>
    <w:p w14:paraId="12C97D1A" w14:textId="77777777" w:rsidR="005369FF" w:rsidRDefault="00404C73" w:rsidP="00650301">
      <w:pPr>
        <w:ind w:left="-142"/>
      </w:pPr>
      <w:r>
        <w:t>T</w:t>
      </w:r>
      <w:r w:rsidRPr="00341581">
        <w:t xml:space="preserve">his section reports on </w:t>
      </w:r>
      <w:r w:rsidRPr="0094785D">
        <w:t xml:space="preserve">the objectives of the </w:t>
      </w:r>
      <w:r w:rsidR="00CB5FE4">
        <w:t xml:space="preserve">Office’s </w:t>
      </w:r>
      <w:r w:rsidR="00A05448" w:rsidRPr="00755978">
        <w:rPr>
          <w:i/>
        </w:rPr>
        <w:t>Strat</w:t>
      </w:r>
      <w:r w:rsidRPr="00755978">
        <w:rPr>
          <w:i/>
        </w:rPr>
        <w:t>egic Plan 201</w:t>
      </w:r>
      <w:r w:rsidR="007F0709" w:rsidRPr="00755978">
        <w:rPr>
          <w:i/>
        </w:rPr>
        <w:t>7-2021</w:t>
      </w:r>
      <w:r w:rsidR="00650301">
        <w:t xml:space="preserve">. </w:t>
      </w:r>
      <w:r w:rsidR="00776CC7">
        <w:t>This</w:t>
      </w:r>
      <w:r w:rsidR="002224AF" w:rsidRPr="00341581">
        <w:t xml:space="preserve"> </w:t>
      </w:r>
      <w:r w:rsidRPr="00341581">
        <w:t>is a sample of performance highlights from 201</w:t>
      </w:r>
      <w:r w:rsidR="007F0709">
        <w:t>7-18</w:t>
      </w:r>
      <w:r w:rsidR="00776CC7">
        <w:t xml:space="preserve"> and is </w:t>
      </w:r>
      <w:r w:rsidRPr="00341581">
        <w:t>not representative of all</w:t>
      </w:r>
      <w:r w:rsidR="00CB5FE4">
        <w:t xml:space="preserve"> the</w:t>
      </w:r>
      <w:r w:rsidRPr="00341581">
        <w:t xml:space="preserve"> work undertaken </w:t>
      </w:r>
      <w:r w:rsidR="00CB5FE4">
        <w:t xml:space="preserve">by the Office </w:t>
      </w:r>
      <w:r w:rsidRPr="00341581">
        <w:t>during the reporting period.</w:t>
      </w:r>
    </w:p>
    <w:p w14:paraId="56D0FC73" w14:textId="77777777" w:rsidR="00D14CDF" w:rsidRPr="006D0FF1" w:rsidRDefault="00AA4F42" w:rsidP="009D6B00">
      <w:pPr>
        <w:pStyle w:val="Heading2"/>
      </w:pPr>
      <w:bookmarkStart w:id="51" w:name="_Toc522266465"/>
      <w:bookmarkStart w:id="52" w:name="_Toc524519411"/>
      <w:r w:rsidRPr="006D0FF1">
        <w:t>Objective one</w:t>
      </w:r>
      <w:bookmarkEnd w:id="51"/>
      <w:bookmarkEnd w:id="52"/>
    </w:p>
    <w:p w14:paraId="2A71B5D9" w14:textId="77777777" w:rsidR="00A74411" w:rsidRDefault="00A74411" w:rsidP="00A74411">
      <w:pPr>
        <w:pBdr>
          <w:top w:val="single" w:sz="24" w:space="8" w:color="AB054C"/>
          <w:bottom w:val="single" w:sz="24" w:space="8" w:color="AB054C"/>
        </w:pBdr>
        <w:ind w:left="851" w:right="1310"/>
        <w:jc w:val="center"/>
        <w:rPr>
          <w:i/>
          <w:iCs/>
          <w:color w:val="990033"/>
          <w:sz w:val="24"/>
          <w:szCs w:val="24"/>
        </w:rPr>
      </w:pPr>
      <w:r>
        <w:rPr>
          <w:rFonts w:eastAsia="Cambria"/>
          <w:i/>
        </w:rPr>
        <w:t>Independent assurance and advice to Government, stakeholders and the community enhances strategic direction, accountability and outcomes in Queensland’s emergency management arrangements</w:t>
      </w:r>
    </w:p>
    <w:p w14:paraId="675A1926" w14:textId="77777777" w:rsidR="00A74411" w:rsidRPr="00667FC5" w:rsidRDefault="00A74411" w:rsidP="00A74411">
      <w:pPr>
        <w:pStyle w:val="BodyText"/>
        <w:ind w:right="614"/>
        <w:rPr>
          <w:color w:val="990033"/>
        </w:rPr>
      </w:pPr>
    </w:p>
    <w:p w14:paraId="0683C669" w14:textId="77777777" w:rsidR="009A5034" w:rsidRPr="009A5034" w:rsidRDefault="009A5034" w:rsidP="009A5034">
      <w:pPr>
        <w:pBdr>
          <w:top w:val="single" w:sz="24" w:space="8" w:color="AB054C"/>
          <w:bottom w:val="single" w:sz="24" w:space="8" w:color="AB054C"/>
        </w:pBdr>
        <w:ind w:left="851" w:right="1310"/>
        <w:jc w:val="center"/>
        <w:rPr>
          <w:b/>
          <w:iCs/>
          <w:color w:val="990033"/>
          <w:sz w:val="24"/>
          <w:szCs w:val="24"/>
        </w:rPr>
      </w:pPr>
      <w:r w:rsidRPr="009A5034">
        <w:rPr>
          <w:b/>
          <w:iCs/>
          <w:color w:val="990033"/>
          <w:sz w:val="24"/>
          <w:szCs w:val="24"/>
        </w:rPr>
        <w:t>Strategies</w:t>
      </w:r>
    </w:p>
    <w:p w14:paraId="085F6A70" w14:textId="77777777" w:rsidR="009A5034" w:rsidRDefault="009A5034" w:rsidP="009A5034">
      <w:pPr>
        <w:pBdr>
          <w:top w:val="single" w:sz="24" w:space="8" w:color="AB054C"/>
          <w:bottom w:val="single" w:sz="24" w:space="8" w:color="AB054C"/>
        </w:pBdr>
        <w:ind w:left="851" w:right="1310"/>
        <w:jc w:val="center"/>
        <w:rPr>
          <w:rFonts w:eastAsia="Cambria"/>
        </w:rPr>
      </w:pPr>
      <w:r>
        <w:rPr>
          <w:rFonts w:eastAsia="Cambria"/>
        </w:rPr>
        <w:t>Promote a coordinated strategic direction for emergency management in Queensland</w:t>
      </w:r>
    </w:p>
    <w:p w14:paraId="4F82F851" w14:textId="77777777" w:rsidR="009A5034" w:rsidRDefault="009A5034" w:rsidP="009A5034">
      <w:pPr>
        <w:pBdr>
          <w:top w:val="single" w:sz="24" w:space="8" w:color="AB054C"/>
          <w:bottom w:val="single" w:sz="24" w:space="8" w:color="AB054C"/>
        </w:pBdr>
        <w:ind w:left="851" w:right="1310"/>
        <w:jc w:val="center"/>
        <w:rPr>
          <w:rFonts w:eastAsia="Cambria"/>
        </w:rPr>
      </w:pPr>
      <w:r>
        <w:rPr>
          <w:rFonts w:eastAsia="Cambria"/>
        </w:rPr>
        <w:t xml:space="preserve">Undertake targeted reviews and system analysis that identify risks and prioritise improvements on the basis of community outcomes </w:t>
      </w:r>
    </w:p>
    <w:p w14:paraId="6E7D2D04" w14:textId="77777777" w:rsidR="009A5034" w:rsidRDefault="009A5034" w:rsidP="009A5034">
      <w:pPr>
        <w:pBdr>
          <w:top w:val="single" w:sz="24" w:space="8" w:color="AB054C"/>
          <w:bottom w:val="single" w:sz="24" w:space="8" w:color="AB054C"/>
        </w:pBdr>
        <w:ind w:left="851" w:right="1310"/>
        <w:jc w:val="center"/>
        <w:rPr>
          <w:rFonts w:eastAsia="Cambria"/>
        </w:rPr>
      </w:pPr>
      <w:r>
        <w:rPr>
          <w:rFonts w:eastAsia="Cambria"/>
        </w:rPr>
        <w:t>Design, apply and embed contemporary assurance frameworks, activities and tools that are valued by stakeholders and enable improved performance, evaluation and reporting</w:t>
      </w:r>
    </w:p>
    <w:p w14:paraId="5334DA61" w14:textId="77777777" w:rsidR="009A5034" w:rsidRDefault="009A5034" w:rsidP="00A74411">
      <w:pPr>
        <w:pBdr>
          <w:top w:val="single" w:sz="24" w:space="8" w:color="AB054C"/>
          <w:bottom w:val="single" w:sz="24" w:space="8" w:color="AB054C"/>
        </w:pBdr>
        <w:ind w:left="851" w:right="1310"/>
        <w:jc w:val="center"/>
        <w:rPr>
          <w:b/>
          <w:i/>
          <w:iCs/>
          <w:color w:val="990033"/>
          <w:sz w:val="24"/>
          <w:szCs w:val="24"/>
        </w:rPr>
      </w:pPr>
      <w:r w:rsidRPr="009A5034">
        <w:rPr>
          <w:rFonts w:eastAsia="Cambria"/>
        </w:rPr>
        <w:t>Provide system oversight and assurance that enables key stakeholders to deliver their responsibilities and achieve performance outcomes across emergency</w:t>
      </w:r>
      <w:r>
        <w:rPr>
          <w:rFonts w:eastAsia="Cambria"/>
        </w:rPr>
        <w:t xml:space="preserve"> management </w:t>
      </w:r>
    </w:p>
    <w:p w14:paraId="2DAA92AE" w14:textId="77777777" w:rsidR="00775DCA" w:rsidRDefault="00775DCA" w:rsidP="006D0FF1">
      <w:pPr>
        <w:pStyle w:val="Heading3"/>
      </w:pPr>
      <w:r>
        <w:t xml:space="preserve">Program of reviews </w:t>
      </w:r>
    </w:p>
    <w:p w14:paraId="03C9F614" w14:textId="77777777" w:rsidR="00CB5FE4" w:rsidRDefault="00CB5FE4" w:rsidP="00E147C2">
      <w:pPr>
        <w:ind w:left="-142"/>
      </w:pPr>
      <w:r>
        <w:t xml:space="preserve">The Office plans, develops and conducts a range of assurance activities. </w:t>
      </w:r>
    </w:p>
    <w:p w14:paraId="75F22113" w14:textId="77777777" w:rsidR="00CB5FE4" w:rsidRDefault="00CB5FE4" w:rsidP="00E147C2">
      <w:pPr>
        <w:ind w:left="-142"/>
      </w:pPr>
      <w:r>
        <w:t>Assurance activities undertaken by the Office include a</w:t>
      </w:r>
      <w:r w:rsidR="007844BD">
        <w:t xml:space="preserve"> program of strategic reviews. </w:t>
      </w:r>
      <w:r>
        <w:t xml:space="preserve">This is one way for the Office to gauge confidence in Queensland’s disaster management arrangements, identify risks and gaps, and prioritise areas for improvement. </w:t>
      </w:r>
    </w:p>
    <w:p w14:paraId="64EBBE80" w14:textId="77777777" w:rsidR="007844BD" w:rsidRDefault="007844BD" w:rsidP="00E147C2">
      <w:pPr>
        <w:ind w:left="-142"/>
      </w:pPr>
      <w:r>
        <w:t xml:space="preserve">Review topics are identified through consultation with disaster management stakeholders and environmental scanning activities conducted by the Office. </w:t>
      </w:r>
    </w:p>
    <w:p w14:paraId="42F82438" w14:textId="77777777" w:rsidR="00CB5FE4" w:rsidRDefault="007844BD" w:rsidP="00E147C2">
      <w:pPr>
        <w:ind w:left="-142"/>
      </w:pPr>
      <w:r>
        <w:t xml:space="preserve">Reviews involve a significant depth of enquiry. They produce findings and recommendations for improvements. </w:t>
      </w:r>
    </w:p>
    <w:p w14:paraId="44924B84" w14:textId="77777777" w:rsidR="00E147C2" w:rsidRDefault="00E147C2" w:rsidP="00E147C2">
      <w:pPr>
        <w:pStyle w:val="BodyText"/>
        <w:ind w:left="-142"/>
      </w:pPr>
      <w:r>
        <w:t>In 2017-18, the Office completed three formal reviews</w:t>
      </w:r>
      <w:r w:rsidRPr="00C834FA">
        <w:t>:</w:t>
      </w:r>
    </w:p>
    <w:p w14:paraId="3B67D242" w14:textId="77777777" w:rsidR="00E147C2" w:rsidRPr="00E147C2" w:rsidRDefault="00B57FE8" w:rsidP="0017125F">
      <w:pPr>
        <w:pStyle w:val="BodyText"/>
        <w:widowControl w:val="0"/>
        <w:numPr>
          <w:ilvl w:val="0"/>
          <w:numId w:val="15"/>
        </w:numPr>
        <w:ind w:left="426" w:hanging="568"/>
      </w:pPr>
      <w:r>
        <w:rPr>
          <w:b/>
        </w:rPr>
        <w:t xml:space="preserve">Report 1: </w:t>
      </w:r>
      <w:r w:rsidR="00E147C2" w:rsidRPr="006B2A49">
        <w:rPr>
          <w:b/>
        </w:rPr>
        <w:t>The Cyclone Debbie Review</w:t>
      </w:r>
      <w:r w:rsidR="00E147C2">
        <w:rPr>
          <w:b/>
        </w:rPr>
        <w:t xml:space="preserve"> </w:t>
      </w:r>
    </w:p>
    <w:p w14:paraId="18F9F683" w14:textId="77777777" w:rsidR="00E147C2" w:rsidRDefault="009D2E48" w:rsidP="00E147C2">
      <w:pPr>
        <w:pStyle w:val="BodyText"/>
        <w:widowControl w:val="0"/>
        <w:ind w:left="426"/>
      </w:pPr>
      <w:r>
        <w:t>In April 2017, i</w:t>
      </w:r>
      <w:r w:rsidR="00E147C2">
        <w:t xml:space="preserve">n the wake of Severe Tropical Cyclone Debbie and subsequent severe weather events, the Office commenced a review into the effectiveness of Queensland’s disaster management arrangements. </w:t>
      </w:r>
    </w:p>
    <w:p w14:paraId="4872AC79" w14:textId="77777777" w:rsidR="00E147C2" w:rsidRDefault="00E147C2" w:rsidP="00E147C2">
      <w:pPr>
        <w:pStyle w:val="BodyText"/>
        <w:widowControl w:val="0"/>
        <w:ind w:left="426"/>
      </w:pPr>
      <w:r>
        <w:t xml:space="preserve">The review looked at three key facets of Cyclone Debbie, namely direct cyclone impact; rapid onset weather conditions after the cyclone’s coastal crossing; and slow onset flooding in the Rockhampton area.  </w:t>
      </w:r>
    </w:p>
    <w:p w14:paraId="724F703A" w14:textId="77777777" w:rsidR="00E147C2" w:rsidRDefault="00E147C2" w:rsidP="00E147C2">
      <w:pPr>
        <w:pStyle w:val="BodyText"/>
        <w:widowControl w:val="0"/>
        <w:ind w:left="426"/>
      </w:pPr>
      <w:r>
        <w:t xml:space="preserve">Overall the review found the disaster management system in Queensland performed well in preparing for, responding to, and recovering from Cyclone Debbie. </w:t>
      </w:r>
    </w:p>
    <w:p w14:paraId="6C914BD7" w14:textId="2296901F" w:rsidR="00E147C2" w:rsidRDefault="00E147C2" w:rsidP="00E147C2">
      <w:pPr>
        <w:pStyle w:val="BodyText"/>
        <w:widowControl w:val="0"/>
        <w:ind w:left="426"/>
      </w:pPr>
      <w:r>
        <w:t xml:space="preserve">The review </w:t>
      </w:r>
      <w:r w:rsidR="009D52E8">
        <w:t xml:space="preserve">produced 18 recommendations, and identified a significant number of good practice actions </w:t>
      </w:r>
      <w:r w:rsidR="002224AF">
        <w:t xml:space="preserve">taken by </w:t>
      </w:r>
      <w:r w:rsidR="009D52E8">
        <w:t xml:space="preserve">state government agencies and </w:t>
      </w:r>
      <w:r w:rsidR="00E378F3">
        <w:t xml:space="preserve">local </w:t>
      </w:r>
      <w:r w:rsidR="009D52E8">
        <w:t xml:space="preserve">councils. </w:t>
      </w:r>
    </w:p>
    <w:p w14:paraId="1D17712B" w14:textId="77777777" w:rsidR="009D52E8" w:rsidRDefault="009D52E8" w:rsidP="00E147C2">
      <w:pPr>
        <w:pStyle w:val="BodyText"/>
        <w:widowControl w:val="0"/>
        <w:ind w:left="426"/>
      </w:pPr>
      <w:r>
        <w:lastRenderedPageBreak/>
        <w:t>The review report and the results of a community survey of 1200 residents</w:t>
      </w:r>
      <w:r w:rsidR="003D1EB6">
        <w:t xml:space="preserve"> </w:t>
      </w:r>
      <w:r w:rsidR="00E47300">
        <w:t xml:space="preserve">were </w:t>
      </w:r>
      <w:r w:rsidR="003D1EB6">
        <w:t>released on 18 October 2017</w:t>
      </w:r>
      <w:r>
        <w:t>.</w:t>
      </w:r>
    </w:p>
    <w:p w14:paraId="275D2E0D" w14:textId="77777777" w:rsidR="009D52E8" w:rsidRPr="00776CC7" w:rsidRDefault="009D52E8" w:rsidP="00776CC7">
      <w:pPr>
        <w:pStyle w:val="BodyText"/>
        <w:widowControl w:val="0"/>
        <w:ind w:left="426"/>
        <w:rPr>
          <w:szCs w:val="22"/>
        </w:rPr>
      </w:pPr>
      <w:r>
        <w:t xml:space="preserve">The review report is available </w:t>
      </w:r>
      <w:r w:rsidR="00B72F7A">
        <w:t>from</w:t>
      </w:r>
      <w:r w:rsidR="00207D9D">
        <w:t xml:space="preserve"> </w:t>
      </w:r>
      <w:hyperlink r:id="rId48" w:history="1">
        <w:r w:rsidR="00776CC7" w:rsidRPr="00F60F03">
          <w:rPr>
            <w:rStyle w:val="Hyperlink"/>
            <w:szCs w:val="22"/>
          </w:rPr>
          <w:t>www.igem.qld.gov.au</w:t>
        </w:r>
      </w:hyperlink>
    </w:p>
    <w:p w14:paraId="3CBC81BD" w14:textId="77777777" w:rsidR="007E0ABA" w:rsidRDefault="007E0ABA" w:rsidP="0017125F">
      <w:pPr>
        <w:pStyle w:val="BodyText"/>
        <w:widowControl w:val="0"/>
        <w:numPr>
          <w:ilvl w:val="0"/>
          <w:numId w:val="17"/>
        </w:numPr>
        <w:ind w:left="426" w:hanging="568"/>
      </w:pPr>
      <w:r w:rsidRPr="007E0ABA">
        <w:rPr>
          <w:b/>
        </w:rPr>
        <w:t xml:space="preserve">Report 2: </w:t>
      </w:r>
      <w:r w:rsidRPr="006B2A49">
        <w:rPr>
          <w:b/>
        </w:rPr>
        <w:t>Review of capability at a district and local level: Townsville Disaster District</w:t>
      </w:r>
    </w:p>
    <w:p w14:paraId="26CA0169" w14:textId="77777777" w:rsidR="009D52E8" w:rsidRDefault="0047101F" w:rsidP="007E0ABA">
      <w:pPr>
        <w:pStyle w:val="BodyText"/>
        <w:widowControl w:val="0"/>
        <w:ind w:left="425"/>
      </w:pPr>
      <w:r>
        <w:t xml:space="preserve">From </w:t>
      </w:r>
      <w:r w:rsidR="00ED544D">
        <w:t>July 2017 to February 2018, the Office completed a capability review of the Townsville Disaster District.</w:t>
      </w:r>
    </w:p>
    <w:p w14:paraId="2EA4D324" w14:textId="77777777" w:rsidR="00ED544D" w:rsidRDefault="00ED544D" w:rsidP="009D52E8">
      <w:pPr>
        <w:pStyle w:val="BodyText"/>
        <w:widowControl w:val="0"/>
        <w:ind w:left="426"/>
      </w:pPr>
      <w:r>
        <w:t>The Office worked closely with the Burdekin, Charters Towers, Flin</w:t>
      </w:r>
      <w:r w:rsidR="00BB0270">
        <w:t xml:space="preserve">ders, Hinchinbrook, Palm Island, </w:t>
      </w:r>
      <w:r>
        <w:t>Richmond and Townsville local disaster management groups, and the Townsville district disaster management group</w:t>
      </w:r>
      <w:r w:rsidR="00027144">
        <w:t xml:space="preserve">. </w:t>
      </w:r>
    </w:p>
    <w:p w14:paraId="0444D630" w14:textId="77777777" w:rsidR="00ED544D" w:rsidRDefault="00ED544D" w:rsidP="009D52E8">
      <w:pPr>
        <w:pStyle w:val="BodyText"/>
        <w:widowControl w:val="0"/>
        <w:ind w:left="426"/>
      </w:pPr>
      <w:r>
        <w:t xml:space="preserve">The review assessed the individual and collective capacity of these groups </w:t>
      </w:r>
      <w:r w:rsidR="00027144">
        <w:t>against the Standard for Disaster Management in Queensland.</w:t>
      </w:r>
    </w:p>
    <w:p w14:paraId="5FD99533" w14:textId="4B81EF82" w:rsidR="00027144" w:rsidRDefault="00027144" w:rsidP="009D52E8">
      <w:pPr>
        <w:pStyle w:val="BodyText"/>
        <w:widowControl w:val="0"/>
        <w:ind w:left="426"/>
      </w:pPr>
      <w:r>
        <w:t xml:space="preserve">The review produced one recommendation, and found highly effective disaster management capability across the Townsville </w:t>
      </w:r>
      <w:r w:rsidR="00E378F3">
        <w:t>D</w:t>
      </w:r>
      <w:r>
        <w:t xml:space="preserve">isaster </w:t>
      </w:r>
      <w:r w:rsidR="00E378F3">
        <w:t>D</w:t>
      </w:r>
      <w:r>
        <w:t xml:space="preserve">istrict, including many examples of good practice. The achievements of the </w:t>
      </w:r>
      <w:r w:rsidR="00E378F3">
        <w:t>D</w:t>
      </w:r>
      <w:r>
        <w:t>istrict reflect the leadership, expertise and commitment of the seven local governments</w:t>
      </w:r>
      <w:r w:rsidR="00AF2CF3">
        <w:t>,</w:t>
      </w:r>
      <w:r>
        <w:t xml:space="preserve"> their local disaster management groups and the district disaster management group. </w:t>
      </w:r>
    </w:p>
    <w:p w14:paraId="393DB459" w14:textId="77777777" w:rsidR="00027144" w:rsidRDefault="00027144" w:rsidP="00027144">
      <w:pPr>
        <w:pStyle w:val="BodyText"/>
        <w:widowControl w:val="0"/>
        <w:ind w:left="426"/>
      </w:pPr>
      <w:r>
        <w:t>The review report was released on 4 April 2018.</w:t>
      </w:r>
    </w:p>
    <w:p w14:paraId="0F3C869D" w14:textId="4C1FEC1D" w:rsidR="00027144" w:rsidRDefault="00027144" w:rsidP="00027144">
      <w:pPr>
        <w:pStyle w:val="BodyText"/>
        <w:widowControl w:val="0"/>
        <w:ind w:left="426"/>
      </w:pPr>
      <w:r>
        <w:t xml:space="preserve">In May 2018, the Office facilitated a collaborative workshop with the </w:t>
      </w:r>
      <w:r w:rsidR="00E378F3">
        <w:t>QRA</w:t>
      </w:r>
      <w:r>
        <w:t xml:space="preserve"> for the local and district disaster management groups. This workshop focused on leveraging the strong leadership demonstrated across the </w:t>
      </w:r>
      <w:r w:rsidR="00E378F3">
        <w:t>D</w:t>
      </w:r>
      <w:r>
        <w:t xml:space="preserve">istrict </w:t>
      </w:r>
      <w:r w:rsidR="00AF2CF3">
        <w:t xml:space="preserve">to </w:t>
      </w:r>
      <w:r>
        <w:t xml:space="preserve">develop recovery and resilience capability into the future.  </w:t>
      </w:r>
    </w:p>
    <w:p w14:paraId="2004E511" w14:textId="77777777" w:rsidR="00776CC7" w:rsidRPr="00776CC7" w:rsidRDefault="00027144" w:rsidP="00776CC7">
      <w:pPr>
        <w:pStyle w:val="BodyText"/>
        <w:widowControl w:val="0"/>
        <w:ind w:left="426"/>
        <w:rPr>
          <w:szCs w:val="22"/>
        </w:rPr>
      </w:pPr>
      <w:r>
        <w:t>The review report is available</w:t>
      </w:r>
      <w:r w:rsidR="00B72F7A">
        <w:t xml:space="preserve"> from</w:t>
      </w:r>
      <w:r w:rsidR="00207D9D">
        <w:t xml:space="preserve"> </w:t>
      </w:r>
      <w:hyperlink r:id="rId49" w:history="1">
        <w:r w:rsidR="00776CC7" w:rsidRPr="00F60F03">
          <w:rPr>
            <w:rStyle w:val="Hyperlink"/>
            <w:szCs w:val="22"/>
          </w:rPr>
          <w:t>www.igem.qld.gov.au</w:t>
        </w:r>
      </w:hyperlink>
    </w:p>
    <w:p w14:paraId="76D48135" w14:textId="77777777" w:rsidR="00E147C2" w:rsidRDefault="00207D9D" w:rsidP="00776CC7">
      <w:pPr>
        <w:pStyle w:val="BodyText"/>
        <w:widowControl w:val="0"/>
        <w:ind w:left="426"/>
        <w:rPr>
          <w:b/>
        </w:rPr>
      </w:pPr>
      <w:r>
        <w:t xml:space="preserve"> </w:t>
      </w:r>
      <w:r w:rsidR="00B57FE8" w:rsidRPr="00B57FE8">
        <w:rPr>
          <w:b/>
        </w:rPr>
        <w:t xml:space="preserve">Report 3: </w:t>
      </w:r>
      <w:r w:rsidR="004133C1" w:rsidRPr="006B2A49">
        <w:rPr>
          <w:b/>
        </w:rPr>
        <w:t>Review of evacuation management arrangements</w:t>
      </w:r>
    </w:p>
    <w:p w14:paraId="516DCBC2" w14:textId="77777777" w:rsidR="00583AE2" w:rsidRDefault="003D1EB6" w:rsidP="00583AE2">
      <w:pPr>
        <w:pStyle w:val="BodyText"/>
        <w:widowControl w:val="0"/>
        <w:ind w:left="426"/>
      </w:pPr>
      <w:r>
        <w:t xml:space="preserve">In 2016, the Office commenced a review of Queensland’s evacuation management arrangements. This review was suspended in April 2017 to conduct </w:t>
      </w:r>
      <w:r w:rsidRPr="00755978">
        <w:rPr>
          <w:i/>
        </w:rPr>
        <w:t>The Cyclone Debbie Review</w:t>
      </w:r>
      <w:r>
        <w:t xml:space="preserve">. The review </w:t>
      </w:r>
      <w:r w:rsidR="004148ED">
        <w:t xml:space="preserve">re-commenced </w:t>
      </w:r>
      <w:r>
        <w:t>in October 2017</w:t>
      </w:r>
      <w:r w:rsidR="00583AE2">
        <w:t>.</w:t>
      </w:r>
    </w:p>
    <w:p w14:paraId="7C2EB4E7" w14:textId="77777777" w:rsidR="003D1EB6" w:rsidRDefault="007B5F98" w:rsidP="00583AE2">
      <w:pPr>
        <w:pStyle w:val="BodyText"/>
        <w:widowControl w:val="0"/>
        <w:ind w:left="426"/>
      </w:pPr>
      <w:r>
        <w:t xml:space="preserve">The review assessed whether arrangements are scalable and reflect best practice; the extent to which the legislative authority to initiate evacuations is clear; and the capacity for adapting plans to events. </w:t>
      </w:r>
    </w:p>
    <w:p w14:paraId="26DF038C" w14:textId="77777777" w:rsidR="00AA3A45" w:rsidRDefault="00A646D9" w:rsidP="00583AE2">
      <w:pPr>
        <w:pStyle w:val="BodyText"/>
        <w:widowControl w:val="0"/>
        <w:ind w:left="426"/>
      </w:pPr>
      <w:r>
        <w:t>The Office conducted workshops with key stakeholders in Rockhampton, Townsville, Gold Coast and Brisbane as part of the review process.</w:t>
      </w:r>
      <w:r w:rsidR="00AA3A45">
        <w:t xml:space="preserve"> Consultation has been completed and </w:t>
      </w:r>
      <w:r w:rsidR="00E66BDA">
        <w:t>has</w:t>
      </w:r>
      <w:r w:rsidR="00AA3A45">
        <w:t xml:space="preserve"> inform</w:t>
      </w:r>
      <w:r w:rsidR="00E66BDA">
        <w:t>ed</w:t>
      </w:r>
      <w:r w:rsidR="00AA3A45">
        <w:t xml:space="preserve"> the review report. </w:t>
      </w:r>
    </w:p>
    <w:p w14:paraId="5497CEA0" w14:textId="77777777" w:rsidR="00504176" w:rsidRDefault="00A52413" w:rsidP="00583AE2">
      <w:pPr>
        <w:pStyle w:val="BodyText"/>
        <w:widowControl w:val="0"/>
        <w:ind w:left="426"/>
      </w:pPr>
      <w:r>
        <w:t>The review report was provided to key stakeholders in May 2018 for consideration and response to its recommendations.</w:t>
      </w:r>
    </w:p>
    <w:p w14:paraId="5EDEB5E0" w14:textId="77777777" w:rsidR="00AA3A45" w:rsidRDefault="00AA3A45" w:rsidP="00AA3A45">
      <w:pPr>
        <w:pStyle w:val="BodyText"/>
        <w:ind w:left="-142"/>
      </w:pPr>
      <w:r>
        <w:t xml:space="preserve">In 2017-18, </w:t>
      </w:r>
      <w:r w:rsidRPr="00504176">
        <w:t xml:space="preserve">the Office </w:t>
      </w:r>
      <w:r w:rsidR="0047101F">
        <w:t>undertook</w:t>
      </w:r>
      <w:r w:rsidRPr="00504176">
        <w:t xml:space="preserve"> one </w:t>
      </w:r>
      <w:r w:rsidR="0047101F">
        <w:t xml:space="preserve">further </w:t>
      </w:r>
      <w:r w:rsidRPr="00504176">
        <w:t>review</w:t>
      </w:r>
      <w:r w:rsidRPr="00C834FA">
        <w:t>:</w:t>
      </w:r>
    </w:p>
    <w:p w14:paraId="20F445D7" w14:textId="77777777" w:rsidR="00AA3A45" w:rsidRPr="00E147C2" w:rsidRDefault="009D2E48" w:rsidP="0017125F">
      <w:pPr>
        <w:pStyle w:val="BodyText"/>
        <w:widowControl w:val="0"/>
        <w:numPr>
          <w:ilvl w:val="0"/>
          <w:numId w:val="15"/>
        </w:numPr>
        <w:ind w:left="426" w:hanging="568"/>
      </w:pPr>
      <w:r>
        <w:rPr>
          <w:b/>
        </w:rPr>
        <w:t xml:space="preserve">Review of the efficacy of recovery governance </w:t>
      </w:r>
    </w:p>
    <w:p w14:paraId="56281F6C" w14:textId="77777777" w:rsidR="009D2E48" w:rsidRDefault="00AA3A45" w:rsidP="00E66BDA">
      <w:pPr>
        <w:ind w:left="426"/>
      </w:pPr>
      <w:r>
        <w:t>In</w:t>
      </w:r>
      <w:r w:rsidR="009D2E48">
        <w:t xml:space="preserve"> July 2017, the Office commenced a review of the efficiency and effectiveness of Queensland’s recovery governance arrangements. </w:t>
      </w:r>
    </w:p>
    <w:p w14:paraId="5C4A55AA" w14:textId="77777777" w:rsidR="00193922" w:rsidRDefault="009D2E48" w:rsidP="00E66BDA">
      <w:pPr>
        <w:ind w:left="426"/>
      </w:pPr>
      <w:r>
        <w:t>The Office engaged 130 stakeholders during the review, including representative</w:t>
      </w:r>
      <w:r w:rsidR="00414AA9">
        <w:t>s</w:t>
      </w:r>
      <w:r>
        <w:t xml:space="preserve"> from local councils, state government agencies, non-government organisations, the private sector and community members. </w:t>
      </w:r>
    </w:p>
    <w:p w14:paraId="2AC53606" w14:textId="75E1CBC5" w:rsidR="009E1600" w:rsidRDefault="009E1600" w:rsidP="009E1600">
      <w:pPr>
        <w:ind w:left="426"/>
      </w:pPr>
      <w:r>
        <w:t>The review uncovered stories that reflect the pride and depth of commitment that people across Queensland have in their efforts to recover</w:t>
      </w:r>
      <w:r w:rsidR="007D52C3">
        <w:t xml:space="preserve"> from an event</w:t>
      </w:r>
      <w:r>
        <w:t xml:space="preserve">, and affirms that for many stakeholders, recovery is deeply personal. </w:t>
      </w:r>
    </w:p>
    <w:p w14:paraId="6AB640CB" w14:textId="77777777" w:rsidR="00193922" w:rsidRDefault="00193922" w:rsidP="00E66BDA">
      <w:pPr>
        <w:ind w:left="426"/>
      </w:pPr>
      <w:r>
        <w:t xml:space="preserve">Considerable feedback </w:t>
      </w:r>
      <w:r w:rsidR="00414AA9">
        <w:t xml:space="preserve">was </w:t>
      </w:r>
      <w:r>
        <w:t>provided by stakeholders as part of the review</w:t>
      </w:r>
      <w:r w:rsidR="009E1600">
        <w:t xml:space="preserve"> and subsequent consultation</w:t>
      </w:r>
      <w:r>
        <w:t>.</w:t>
      </w:r>
      <w:r w:rsidR="009E1600">
        <w:t xml:space="preserve"> As a result of this interest, the consultation period was </w:t>
      </w:r>
      <w:r w:rsidR="009B0831">
        <w:t>extended to beyond 30 June 2018.</w:t>
      </w:r>
    </w:p>
    <w:p w14:paraId="6CE0A9EC" w14:textId="77777777" w:rsidR="00193922" w:rsidRDefault="00193922" w:rsidP="00E66BDA">
      <w:pPr>
        <w:ind w:left="426"/>
      </w:pPr>
      <w:r w:rsidRPr="00A415DC">
        <w:lastRenderedPageBreak/>
        <w:t>The Office is considering the results of consultation, and working toward finalising the review report.</w:t>
      </w:r>
      <w:r>
        <w:t xml:space="preserve"> </w:t>
      </w:r>
    </w:p>
    <w:p w14:paraId="01E3BE72" w14:textId="77777777" w:rsidR="00775DCA" w:rsidRDefault="00775DCA" w:rsidP="006D0FF1">
      <w:pPr>
        <w:pStyle w:val="Heading3"/>
      </w:pPr>
      <w:r>
        <w:t xml:space="preserve">Lessons management </w:t>
      </w:r>
    </w:p>
    <w:p w14:paraId="190DCAB2" w14:textId="77777777" w:rsidR="00E91D8F" w:rsidRDefault="00E91D8F" w:rsidP="00E91D8F">
      <w:pPr>
        <w:ind w:left="-142"/>
      </w:pPr>
      <w:r>
        <w:t>In February 2017, the Office commenced the development of a system</w:t>
      </w:r>
      <w:r w:rsidR="00066ED8">
        <w:t>-</w:t>
      </w:r>
      <w:r>
        <w:t xml:space="preserve">wide lessons management program for Queensland, in response to a recommendation of </w:t>
      </w:r>
      <w:r w:rsidRPr="00755978">
        <w:rPr>
          <w:i/>
        </w:rPr>
        <w:t>The Cyclone Debbie Review</w:t>
      </w:r>
      <w:r>
        <w:t xml:space="preserve">. </w:t>
      </w:r>
    </w:p>
    <w:p w14:paraId="4125D9BF" w14:textId="77777777" w:rsidR="00E91D8F" w:rsidRDefault="00E91D8F" w:rsidP="00E91D8F">
      <w:pPr>
        <w:ind w:left="-142"/>
      </w:pPr>
      <w:r>
        <w:t xml:space="preserve">Lessons management is a key way to enable learnings from events, exercises, and good practice to be identified, shared and embedded through action and change. </w:t>
      </w:r>
    </w:p>
    <w:p w14:paraId="641F3F03" w14:textId="65D6A448" w:rsidR="00E91D8F" w:rsidRDefault="00E91D8F" w:rsidP="00E91D8F">
      <w:pPr>
        <w:ind w:left="-142"/>
      </w:pPr>
      <w:r>
        <w:t xml:space="preserve">The Office is working with </w:t>
      </w:r>
      <w:r w:rsidR="00B17D75">
        <w:t xml:space="preserve">a broad range of </w:t>
      </w:r>
      <w:r>
        <w:t xml:space="preserve">stakeholders from across the sector, including </w:t>
      </w:r>
      <w:r w:rsidR="007D52C3">
        <w:t>l</w:t>
      </w:r>
      <w:r w:rsidR="00B17D75">
        <w:t xml:space="preserve">ocal </w:t>
      </w:r>
      <w:r w:rsidR="007D52C3">
        <w:t>g</w:t>
      </w:r>
      <w:r w:rsidR="00B17D75">
        <w:t xml:space="preserve">overnment, </w:t>
      </w:r>
      <w:r w:rsidR="0072333D">
        <w:t>QFES</w:t>
      </w:r>
      <w:r>
        <w:t xml:space="preserve"> and </w:t>
      </w:r>
      <w:r w:rsidR="0072333D">
        <w:t>QPS</w:t>
      </w:r>
      <w:r>
        <w:t xml:space="preserve">, who </w:t>
      </w:r>
      <w:r w:rsidR="00480BB1">
        <w:t xml:space="preserve">currently </w:t>
      </w:r>
      <w:r>
        <w:t xml:space="preserve">play a key role in supporting improvements to Queensland’s disaster management system. </w:t>
      </w:r>
    </w:p>
    <w:p w14:paraId="1DC152FF" w14:textId="77777777" w:rsidR="00E91D8F" w:rsidRDefault="00E91D8F" w:rsidP="00E91D8F">
      <w:pPr>
        <w:ind w:left="-142"/>
      </w:pPr>
      <w:r>
        <w:t>The lessons management program will drive continuous improvement across the sector. Robust monitoring and reporting will further ensure the best possible disaster management system and arrangements are in place</w:t>
      </w:r>
      <w:r w:rsidR="00066ED8">
        <w:t xml:space="preserve"> in Queensland</w:t>
      </w:r>
      <w:r>
        <w:t xml:space="preserve">. </w:t>
      </w:r>
    </w:p>
    <w:p w14:paraId="1C99D29C" w14:textId="77777777" w:rsidR="00480BB1" w:rsidRDefault="00480BB1" w:rsidP="006D0FF1">
      <w:pPr>
        <w:pStyle w:val="Heading3"/>
      </w:pPr>
      <w:r>
        <w:t xml:space="preserve">Emergency </w:t>
      </w:r>
      <w:r w:rsidR="006D0FF1">
        <w:t>M</w:t>
      </w:r>
      <w:r>
        <w:t xml:space="preserve">anagement </w:t>
      </w:r>
      <w:r w:rsidR="006D0FF1">
        <w:t>A</w:t>
      </w:r>
      <w:r>
        <w:t xml:space="preserve">ssurance </w:t>
      </w:r>
      <w:r w:rsidR="006D0FF1">
        <w:t>F</w:t>
      </w:r>
      <w:r>
        <w:t xml:space="preserve">ramework </w:t>
      </w:r>
    </w:p>
    <w:p w14:paraId="54317992" w14:textId="77777777" w:rsidR="00480BB1" w:rsidRDefault="00480BB1" w:rsidP="00480BB1">
      <w:pPr>
        <w:ind w:left="-142"/>
      </w:pPr>
      <w:r>
        <w:t xml:space="preserve">The </w:t>
      </w:r>
      <w:r w:rsidRPr="006B2A49">
        <w:rPr>
          <w:i/>
        </w:rPr>
        <w:t>Emergency Management Assurance Framework</w:t>
      </w:r>
      <w:r>
        <w:t xml:space="preserve"> (the Framework), developed in 2014, underpins the </w:t>
      </w:r>
      <w:r w:rsidR="00B75588">
        <w:t xml:space="preserve">delivery of the </w:t>
      </w:r>
      <w:r>
        <w:t>Office’s legislated functions</w:t>
      </w:r>
      <w:r w:rsidR="00B75588">
        <w:t xml:space="preserve"> and strategic priorities</w:t>
      </w:r>
      <w:r>
        <w:t xml:space="preserve">. </w:t>
      </w:r>
    </w:p>
    <w:p w14:paraId="0911BA26" w14:textId="77777777" w:rsidR="00480BB1" w:rsidRDefault="00480BB1" w:rsidP="00480BB1">
      <w:pPr>
        <w:ind w:left="-142"/>
      </w:pPr>
      <w:r>
        <w:t xml:space="preserve">The Framework includes the </w:t>
      </w:r>
      <w:r w:rsidRPr="006B2A49">
        <w:rPr>
          <w:i/>
        </w:rPr>
        <w:t>Standard for Disaster Management in Queensland</w:t>
      </w:r>
      <w:r w:rsidR="00066ED8">
        <w:t xml:space="preserve"> (the Standard)</w:t>
      </w:r>
      <w:r>
        <w:t xml:space="preserve">, which establishes comprehensive performance outcomes for entities involved in disaster management.  </w:t>
      </w:r>
    </w:p>
    <w:p w14:paraId="081EEAB2" w14:textId="77777777" w:rsidR="00480BB1" w:rsidRDefault="00480BB1" w:rsidP="00480BB1">
      <w:pPr>
        <w:ind w:left="-142"/>
      </w:pPr>
      <w:r>
        <w:t xml:space="preserve">In 2017-18, the Office applied the Framework to key review activities (refer </w:t>
      </w:r>
      <w:r w:rsidRPr="00B5046A">
        <w:t xml:space="preserve">pages </w:t>
      </w:r>
      <w:r w:rsidR="00527E5F" w:rsidRPr="005562AC">
        <w:t>14 to 16</w:t>
      </w:r>
      <w:r>
        <w:t xml:space="preserve">). </w:t>
      </w:r>
    </w:p>
    <w:p w14:paraId="251E6C8F" w14:textId="77777777" w:rsidR="00480BB1" w:rsidRDefault="00B75588" w:rsidP="00480BB1">
      <w:pPr>
        <w:ind w:left="-142"/>
      </w:pPr>
      <w:r>
        <w:t xml:space="preserve">In April 2018, the Office commenced a refresh of the Framework and the Standard to ensure it remains contemporary and continues to support the disaster management sector into the future. </w:t>
      </w:r>
    </w:p>
    <w:p w14:paraId="1B375EC7" w14:textId="1C15B2FA" w:rsidR="00B75588" w:rsidRDefault="00B75588" w:rsidP="00480BB1">
      <w:pPr>
        <w:ind w:left="-142"/>
      </w:pPr>
      <w:r>
        <w:t xml:space="preserve">The refresh involves extensive stakeholder engagement with representatives </w:t>
      </w:r>
      <w:r w:rsidR="007D52C3">
        <w:t>from</w:t>
      </w:r>
      <w:r>
        <w:t xml:space="preserve"> local, state and federal governments, not-for-profit organisations and universities. </w:t>
      </w:r>
      <w:r w:rsidRPr="00665D41">
        <w:t>Technical working groups have been established to support stakeholder engagement and provide advice on specific elements of the Framework.</w:t>
      </w:r>
    </w:p>
    <w:p w14:paraId="363BADF1" w14:textId="77777777" w:rsidR="00776CC7" w:rsidRDefault="00B75588" w:rsidP="00776CC7">
      <w:pPr>
        <w:ind w:left="-142"/>
      </w:pPr>
      <w:r>
        <w:t xml:space="preserve">The Office continued to support the practical application of the Framework in the disaster management sector through workshops in 2017-18. </w:t>
      </w:r>
      <w:r w:rsidR="00050FF3">
        <w:t xml:space="preserve">Between </w:t>
      </w:r>
      <w:r w:rsidR="00F8418B">
        <w:t xml:space="preserve">August </w:t>
      </w:r>
      <w:r w:rsidR="00050FF3">
        <w:t xml:space="preserve">and </w:t>
      </w:r>
      <w:r w:rsidR="00B17D75">
        <w:t xml:space="preserve">November </w:t>
      </w:r>
      <w:r w:rsidR="00F8418B">
        <w:t xml:space="preserve">2017, eleven regional workshops were conducted with 177 local and district group members. </w:t>
      </w:r>
    </w:p>
    <w:p w14:paraId="2A8CD27D" w14:textId="77777777" w:rsidR="00776CC7" w:rsidRPr="00776CC7" w:rsidRDefault="00736ED4" w:rsidP="00776CC7">
      <w:pPr>
        <w:ind w:left="-142"/>
      </w:pPr>
      <w:r>
        <w:t xml:space="preserve">The Framework </w:t>
      </w:r>
      <w:r w:rsidR="00D0200F">
        <w:t xml:space="preserve">and the </w:t>
      </w:r>
      <w:r>
        <w:t xml:space="preserve">Standard </w:t>
      </w:r>
      <w:r w:rsidR="00050FF3">
        <w:t xml:space="preserve">are </w:t>
      </w:r>
      <w:r w:rsidR="00D0200F">
        <w:t xml:space="preserve">available at </w:t>
      </w:r>
      <w:hyperlink r:id="rId50" w:history="1">
        <w:r w:rsidR="00776CC7" w:rsidRPr="00F60F03">
          <w:rPr>
            <w:rStyle w:val="Hyperlink"/>
            <w:szCs w:val="22"/>
          </w:rPr>
          <w:t>www.igem.qld.gov.au</w:t>
        </w:r>
      </w:hyperlink>
    </w:p>
    <w:p w14:paraId="7773DA60" w14:textId="77777777" w:rsidR="00775DCA" w:rsidRDefault="00775DCA" w:rsidP="006D0FF1">
      <w:pPr>
        <w:pStyle w:val="Heading3"/>
      </w:pPr>
      <w:r>
        <w:t>Disaster management plans</w:t>
      </w:r>
    </w:p>
    <w:p w14:paraId="328D9454" w14:textId="77777777" w:rsidR="00665D41" w:rsidRDefault="00665D41" w:rsidP="00480BB1">
      <w:pPr>
        <w:ind w:left="-142"/>
      </w:pPr>
      <w:r>
        <w:t xml:space="preserve">The </w:t>
      </w:r>
      <w:r w:rsidRPr="00665D41">
        <w:rPr>
          <w:i/>
        </w:rPr>
        <w:t>Disaster Management Act 2003</w:t>
      </w:r>
      <w:r>
        <w:t xml:space="preserve"> requires local government and district disaster management groups to annually review the effectiveness of their disaster management plans, and the Office to regularly review all plans.</w:t>
      </w:r>
    </w:p>
    <w:p w14:paraId="7C80334D" w14:textId="77777777" w:rsidR="00876232" w:rsidRDefault="00876232" w:rsidP="00480BB1">
      <w:pPr>
        <w:ind w:left="-142"/>
      </w:pPr>
      <w:r>
        <w:t xml:space="preserve">The Office provides an online process to enable entities to conduct an annual assessment of their plans against the </w:t>
      </w:r>
      <w:r w:rsidRPr="006B2A49">
        <w:rPr>
          <w:i/>
        </w:rPr>
        <w:t>Standard for Disaster Management in Queensland</w:t>
      </w:r>
      <w:r>
        <w:t xml:space="preserve">. This process also enables the Office to carry out its own annual assessment of district and local plans through an analysis of the online results and a sample of plans. </w:t>
      </w:r>
    </w:p>
    <w:p w14:paraId="5D3D1A8A" w14:textId="77777777" w:rsidR="00876232" w:rsidRDefault="00BF455F" w:rsidP="00480BB1">
      <w:pPr>
        <w:ind w:left="-142"/>
      </w:pPr>
      <w:r>
        <w:t>In 201</w:t>
      </w:r>
      <w:r w:rsidR="00066ED8">
        <w:t>7</w:t>
      </w:r>
      <w:r>
        <w:t>-1</w:t>
      </w:r>
      <w:r w:rsidR="00066ED8">
        <w:t>8</w:t>
      </w:r>
      <w:r>
        <w:t xml:space="preserve">, the </w:t>
      </w:r>
      <w:r w:rsidR="009148FF">
        <w:t xml:space="preserve">annual </w:t>
      </w:r>
      <w:r w:rsidR="00876232">
        <w:t xml:space="preserve">assessment process was undertaken between July </w:t>
      </w:r>
      <w:r w:rsidR="00050FF3">
        <w:t xml:space="preserve">and </w:t>
      </w:r>
      <w:r w:rsidR="00876232">
        <w:t>September</w:t>
      </w:r>
      <w:r w:rsidR="00066ED8">
        <w:t xml:space="preserve"> 2017</w:t>
      </w:r>
      <w:r w:rsidR="00876232">
        <w:t xml:space="preserve">. This is the third year that disaster management plans have been assessed against the Standard </w:t>
      </w:r>
      <w:r w:rsidR="00066ED8">
        <w:t>through an online process</w:t>
      </w:r>
      <w:r w:rsidR="00876232">
        <w:t xml:space="preserve">.  </w:t>
      </w:r>
    </w:p>
    <w:p w14:paraId="0C300CDB" w14:textId="77777777" w:rsidR="00876232" w:rsidRDefault="00876232" w:rsidP="00480BB1">
      <w:pPr>
        <w:ind w:left="-142"/>
      </w:pPr>
      <w:r>
        <w:t>Th</w:t>
      </w:r>
      <w:r w:rsidR="00066ED8">
        <w:t xml:space="preserve">e most recent </w:t>
      </w:r>
      <w:r>
        <w:t xml:space="preserve">assessment showed that overall, plans are ‘well-placed’ across all six areas of Shared Responsibility of the Standard, and that local government and district group confidence has improved since 2016. </w:t>
      </w:r>
    </w:p>
    <w:p w14:paraId="2A69F68A" w14:textId="77777777" w:rsidR="009148FF" w:rsidRDefault="009148FF" w:rsidP="00480BB1">
      <w:pPr>
        <w:ind w:left="-142"/>
      </w:pPr>
      <w:r>
        <w:t xml:space="preserve">An analysis of the assessments and good practice examples were shared with disaster management practitioners to inform future practice. </w:t>
      </w:r>
    </w:p>
    <w:p w14:paraId="3E23E2D3" w14:textId="77777777" w:rsidR="00876232" w:rsidRDefault="004C1D4F" w:rsidP="00480BB1">
      <w:pPr>
        <w:ind w:left="-142"/>
      </w:pPr>
      <w:r>
        <w:lastRenderedPageBreak/>
        <w:t xml:space="preserve">The Office has </w:t>
      </w:r>
      <w:r w:rsidR="009148FF">
        <w:t xml:space="preserve">recently </w:t>
      </w:r>
      <w:r>
        <w:t xml:space="preserve">partnered with </w:t>
      </w:r>
      <w:r w:rsidR="0072333D">
        <w:t>DHPW</w:t>
      </w:r>
      <w:r>
        <w:t xml:space="preserve"> to develop a dashboard where this data can be analysed in different ways</w:t>
      </w:r>
      <w:r w:rsidR="009148FF">
        <w:t xml:space="preserve">, </w:t>
      </w:r>
      <w:r>
        <w:t xml:space="preserve">and better presented to </w:t>
      </w:r>
      <w:r w:rsidR="009148FF">
        <w:t>the disaster m</w:t>
      </w:r>
      <w:r w:rsidR="00A86920">
        <w:t xml:space="preserve">anagement sector in the </w:t>
      </w:r>
      <w:r w:rsidR="00A86920" w:rsidRPr="00527E5F">
        <w:t xml:space="preserve">future (refer page </w:t>
      </w:r>
      <w:r w:rsidR="00527E5F" w:rsidRPr="005562AC">
        <w:t>19</w:t>
      </w:r>
      <w:r w:rsidR="00A86920" w:rsidRPr="00527E5F">
        <w:t>).</w:t>
      </w:r>
      <w:r w:rsidR="00A86920">
        <w:t xml:space="preserve"> </w:t>
      </w:r>
    </w:p>
    <w:p w14:paraId="01C19891" w14:textId="77777777" w:rsidR="00643CE2" w:rsidRDefault="00643CE2">
      <w:pPr>
        <w:rPr>
          <w:b/>
          <w:sz w:val="28"/>
          <w:szCs w:val="28"/>
        </w:rPr>
      </w:pPr>
      <w:r>
        <w:rPr>
          <w:b/>
          <w:sz w:val="28"/>
          <w:szCs w:val="28"/>
        </w:rPr>
        <w:br w:type="page"/>
      </w:r>
    </w:p>
    <w:p w14:paraId="7B0692F7" w14:textId="77777777" w:rsidR="00D14CDF" w:rsidRPr="00F11267" w:rsidRDefault="00A6264A" w:rsidP="009D6B00">
      <w:pPr>
        <w:pStyle w:val="Heading2"/>
      </w:pPr>
      <w:bookmarkStart w:id="53" w:name="_Toc524519412"/>
      <w:bookmarkStart w:id="54" w:name="_Toc522266466"/>
      <w:r>
        <w:lastRenderedPageBreak/>
        <w:t>Objective two</w:t>
      </w:r>
      <w:bookmarkEnd w:id="53"/>
      <w:r>
        <w:t xml:space="preserve"> </w:t>
      </w:r>
      <w:bookmarkEnd w:id="54"/>
    </w:p>
    <w:p w14:paraId="464118F3" w14:textId="77777777" w:rsidR="009A5034" w:rsidRDefault="009A5034" w:rsidP="009A5034">
      <w:pPr>
        <w:pBdr>
          <w:top w:val="single" w:sz="24" w:space="8" w:color="AB054C"/>
          <w:bottom w:val="single" w:sz="24" w:space="8" w:color="AB054C"/>
        </w:pBdr>
        <w:ind w:left="851" w:right="1310"/>
        <w:jc w:val="center"/>
        <w:rPr>
          <w:rFonts w:eastAsia="Cambria"/>
          <w:i/>
        </w:rPr>
      </w:pPr>
      <w:r>
        <w:rPr>
          <w:rFonts w:eastAsia="Cambria"/>
          <w:i/>
        </w:rPr>
        <w:t>A culture of excellence and innovation that challenges the emergency management sector to adapt to and explore emerging opportunities</w:t>
      </w:r>
    </w:p>
    <w:p w14:paraId="4A66FF90" w14:textId="77777777" w:rsidR="009A5034" w:rsidRPr="00667FC5" w:rsidRDefault="009A5034" w:rsidP="009A5034">
      <w:pPr>
        <w:pStyle w:val="BodyText"/>
        <w:ind w:right="614"/>
        <w:rPr>
          <w:color w:val="990033"/>
        </w:rPr>
      </w:pPr>
    </w:p>
    <w:p w14:paraId="6C67169E" w14:textId="77777777" w:rsidR="009A5034" w:rsidRDefault="009A5034" w:rsidP="009A5034">
      <w:pPr>
        <w:pBdr>
          <w:top w:val="single" w:sz="24" w:space="8" w:color="AB054C"/>
          <w:bottom w:val="single" w:sz="24" w:space="8" w:color="AB054C"/>
        </w:pBdr>
        <w:ind w:left="851" w:right="1310"/>
        <w:jc w:val="center"/>
        <w:rPr>
          <w:b/>
          <w:iCs/>
          <w:color w:val="990033"/>
          <w:sz w:val="24"/>
          <w:szCs w:val="24"/>
        </w:rPr>
      </w:pPr>
      <w:r w:rsidRPr="009A5034">
        <w:rPr>
          <w:b/>
          <w:iCs/>
          <w:color w:val="990033"/>
          <w:sz w:val="24"/>
          <w:szCs w:val="24"/>
        </w:rPr>
        <w:t>Strategies</w:t>
      </w:r>
    </w:p>
    <w:p w14:paraId="49DBAD66" w14:textId="77777777" w:rsidR="009A5034" w:rsidRDefault="009A5034" w:rsidP="009A5034">
      <w:pPr>
        <w:pBdr>
          <w:top w:val="single" w:sz="24" w:space="8" w:color="AB054C"/>
          <w:bottom w:val="single" w:sz="24" w:space="8" w:color="AB054C"/>
        </w:pBdr>
        <w:ind w:left="851" w:right="1310"/>
        <w:jc w:val="center"/>
        <w:rPr>
          <w:rFonts w:eastAsia="Cambria"/>
        </w:rPr>
      </w:pPr>
      <w:r>
        <w:rPr>
          <w:rFonts w:eastAsia="Cambria"/>
        </w:rPr>
        <w:t>Seek and harness trusted partnerships that promote collaboration, community-centric engagement, leadership and resilience</w:t>
      </w:r>
    </w:p>
    <w:p w14:paraId="0B980197" w14:textId="77777777" w:rsidR="009A5034" w:rsidRDefault="009A5034" w:rsidP="009A5034">
      <w:pPr>
        <w:pBdr>
          <w:top w:val="single" w:sz="24" w:space="8" w:color="AB054C"/>
          <w:bottom w:val="single" w:sz="24" w:space="8" w:color="AB054C"/>
        </w:pBdr>
        <w:ind w:left="851" w:right="1310"/>
        <w:jc w:val="center"/>
        <w:rPr>
          <w:rFonts w:eastAsia="Cambria"/>
        </w:rPr>
      </w:pPr>
      <w:r>
        <w:rPr>
          <w:rFonts w:eastAsia="Cambria"/>
        </w:rPr>
        <w:t>Connect and engage with key stakeholders and partners through flexible and transparent platforms, systems and processes that enable interoperability, open communication and good governance</w:t>
      </w:r>
    </w:p>
    <w:p w14:paraId="6181C808" w14:textId="77777777" w:rsidR="009A5034" w:rsidRDefault="009A5034" w:rsidP="009A5034">
      <w:pPr>
        <w:pBdr>
          <w:top w:val="single" w:sz="24" w:space="8" w:color="AB054C"/>
          <w:bottom w:val="single" w:sz="24" w:space="8" w:color="AB054C"/>
        </w:pBdr>
        <w:ind w:left="851" w:right="1310"/>
        <w:jc w:val="center"/>
        <w:rPr>
          <w:rFonts w:eastAsia="Cambria"/>
        </w:rPr>
      </w:pPr>
      <w:r>
        <w:rPr>
          <w:rFonts w:eastAsia="Cambria"/>
        </w:rPr>
        <w:t>Leverage contemporary research and analysis to inform evidence-based policy, practice and advice across all phases of emergency management</w:t>
      </w:r>
    </w:p>
    <w:p w14:paraId="4AE3D45D" w14:textId="77777777" w:rsidR="009A5034" w:rsidRPr="009A5034" w:rsidRDefault="009A5034" w:rsidP="009A5034">
      <w:pPr>
        <w:pBdr>
          <w:top w:val="single" w:sz="24" w:space="8" w:color="AB054C"/>
          <w:bottom w:val="single" w:sz="24" w:space="8" w:color="AB054C"/>
        </w:pBdr>
        <w:ind w:left="851" w:right="1310"/>
        <w:jc w:val="center"/>
        <w:rPr>
          <w:rFonts w:eastAsia="Cambria"/>
        </w:rPr>
      </w:pPr>
      <w:r w:rsidRPr="009A5034">
        <w:rPr>
          <w:rFonts w:eastAsia="Cambria"/>
        </w:rPr>
        <w:t>Provide clear and timely information and advice that builds capability and empowers key stakeholders to effectively meet their emergency managemen</w:t>
      </w:r>
      <w:r w:rsidR="009F13A2">
        <w:rPr>
          <w:rFonts w:eastAsia="Cambria"/>
        </w:rPr>
        <w:t xml:space="preserve">t </w:t>
      </w:r>
      <w:r w:rsidRPr="009A5034">
        <w:rPr>
          <w:rFonts w:eastAsia="Cambria"/>
        </w:rPr>
        <w:t>accountabilities</w:t>
      </w:r>
    </w:p>
    <w:p w14:paraId="2156DE7C" w14:textId="21E1EFB9" w:rsidR="00B36D76" w:rsidRDefault="00B36D76" w:rsidP="006D0FF1">
      <w:pPr>
        <w:pStyle w:val="Heading3"/>
      </w:pPr>
      <w:r>
        <w:t xml:space="preserve">Disaster </w:t>
      </w:r>
      <w:r w:rsidR="00BF455F">
        <w:t>Management O</w:t>
      </w:r>
      <w:r>
        <w:t>fficers</w:t>
      </w:r>
      <w:r w:rsidR="007D52C3">
        <w:t>’</w:t>
      </w:r>
      <w:r>
        <w:t xml:space="preserve"> </w:t>
      </w:r>
      <w:r w:rsidR="00BF455F">
        <w:t xml:space="preserve">Network </w:t>
      </w:r>
    </w:p>
    <w:p w14:paraId="1CA207B3" w14:textId="3B95DB2F" w:rsidR="00BF455F" w:rsidRDefault="00BF455F" w:rsidP="008573F9">
      <w:pPr>
        <w:ind w:left="-142"/>
      </w:pPr>
      <w:r>
        <w:t xml:space="preserve">Disaster Management Officers (DMOs) are distinct positions within </w:t>
      </w:r>
      <w:r w:rsidR="007D52C3">
        <w:t xml:space="preserve">Queensland </w:t>
      </w:r>
      <w:r>
        <w:t>local governments that have a principal responsibility for disaster and emergency management.</w:t>
      </w:r>
    </w:p>
    <w:p w14:paraId="0F0E30E7" w14:textId="77777777" w:rsidR="00BF455F" w:rsidRDefault="00BF455F" w:rsidP="008573F9">
      <w:pPr>
        <w:ind w:left="-142"/>
      </w:pPr>
      <w:r>
        <w:t xml:space="preserve">A peer-driven statewide network of DMOs and local disaster coordinators continued to successfully operate in 2017-18. The network </w:t>
      </w:r>
      <w:r w:rsidR="00084281">
        <w:t xml:space="preserve">was launched in 2015 and </w:t>
      </w:r>
      <w:r>
        <w:t>provides a way for disaster management practitioners from across Queensland to share</w:t>
      </w:r>
      <w:r w:rsidR="00084281">
        <w:t xml:space="preserve"> knowledge</w:t>
      </w:r>
      <w:r>
        <w:t>, develop innovat</w:t>
      </w:r>
      <w:r w:rsidR="007239A5">
        <w:t xml:space="preserve">ive </w:t>
      </w:r>
      <w:r w:rsidR="00084281">
        <w:t xml:space="preserve">ideas </w:t>
      </w:r>
      <w:r>
        <w:t xml:space="preserve">and collaborate. </w:t>
      </w:r>
    </w:p>
    <w:p w14:paraId="2E76BD59" w14:textId="77777777" w:rsidR="00084281" w:rsidRDefault="00084281" w:rsidP="008573F9">
      <w:pPr>
        <w:ind w:left="-142"/>
      </w:pPr>
      <w:r>
        <w:t>Facilitated</w:t>
      </w:r>
      <w:r w:rsidR="003C7E43">
        <w:t xml:space="preserve"> by </w:t>
      </w:r>
      <w:r>
        <w:t>the Office, the network has grown rapidly to now comprise 91 members from 55 councils across Queensland.</w:t>
      </w:r>
    </w:p>
    <w:p w14:paraId="1C4AD859" w14:textId="77777777" w:rsidR="00BF455F" w:rsidRDefault="00084281" w:rsidP="008573F9">
      <w:pPr>
        <w:ind w:left="-142"/>
      </w:pPr>
      <w:r>
        <w:t>In May 2018, approx</w:t>
      </w:r>
      <w:r w:rsidR="00BF455F">
        <w:t xml:space="preserve">imately 70 </w:t>
      </w:r>
      <w:r>
        <w:t>people from local government and Queensland Government agencies attended the 2018 DMO Forum in Townsville</w:t>
      </w:r>
      <w:r w:rsidR="003C7E43">
        <w:t>. The program included a series of highly-engaging presentations and panel sessions over three days on a vast array of disaster management topics and issues.</w:t>
      </w:r>
    </w:p>
    <w:p w14:paraId="7E5AA013" w14:textId="77777777" w:rsidR="00084281" w:rsidRDefault="00084281" w:rsidP="008573F9">
      <w:pPr>
        <w:ind w:left="-142"/>
      </w:pPr>
      <w:r>
        <w:t xml:space="preserve">Regular teleconferences, and discussion via a secure online collaboration portal, </w:t>
      </w:r>
      <w:r w:rsidR="004E022F">
        <w:t>further s</w:t>
      </w:r>
      <w:r>
        <w:t xml:space="preserve">upported the network to learn from </w:t>
      </w:r>
      <w:r w:rsidR="004E022F">
        <w:t xml:space="preserve">each other, and to identify and implement </w:t>
      </w:r>
      <w:r>
        <w:t xml:space="preserve">good practice in 2017-18. </w:t>
      </w:r>
    </w:p>
    <w:p w14:paraId="75BBFF9F" w14:textId="77777777" w:rsidR="004E022F" w:rsidRDefault="004E022F" w:rsidP="008573F9">
      <w:pPr>
        <w:ind w:left="-142"/>
      </w:pPr>
      <w:r>
        <w:t xml:space="preserve">The DMO Network won the Leadership Category at the </w:t>
      </w:r>
      <w:r w:rsidR="00BC548D">
        <w:t xml:space="preserve">2017 Premier’s Awards for Excellence. </w:t>
      </w:r>
    </w:p>
    <w:p w14:paraId="484A6761" w14:textId="77777777" w:rsidR="00B36D76" w:rsidRDefault="00B36D76" w:rsidP="006D0FF1">
      <w:pPr>
        <w:pStyle w:val="Heading3"/>
      </w:pPr>
      <w:r>
        <w:t xml:space="preserve">Inspector-General Emergency Management Advisory Panel </w:t>
      </w:r>
    </w:p>
    <w:p w14:paraId="696CCE60" w14:textId="77777777" w:rsidR="007556D9" w:rsidRDefault="007556D9" w:rsidP="007556D9">
      <w:pPr>
        <w:ind w:left="-142"/>
      </w:pPr>
      <w:r>
        <w:t xml:space="preserve">The Office hosted two Advisory Panel meetings in 2017-18. </w:t>
      </w:r>
    </w:p>
    <w:p w14:paraId="0E36266C" w14:textId="77777777" w:rsidR="007556D9" w:rsidRDefault="007556D9" w:rsidP="007556D9">
      <w:pPr>
        <w:ind w:left="-142"/>
      </w:pPr>
      <w:r>
        <w:t xml:space="preserve">The Advisory Panel, established in February 2016, continued to offer practical stakeholder guidance to the Inspector-General Emergency Management. </w:t>
      </w:r>
    </w:p>
    <w:p w14:paraId="4E6CC624" w14:textId="5E1E5CEB" w:rsidR="007556D9" w:rsidRDefault="007556D9" w:rsidP="007556D9">
      <w:pPr>
        <w:ind w:left="-142"/>
      </w:pPr>
      <w:r>
        <w:t xml:space="preserve">Panel members include representatives from </w:t>
      </w:r>
      <w:r w:rsidR="00120B60">
        <w:t>D</w:t>
      </w:r>
      <w:r w:rsidR="00CC04A8">
        <w:t>PC</w:t>
      </w:r>
      <w:r w:rsidR="005562AC">
        <w:t>,</w:t>
      </w:r>
      <w:r w:rsidR="00120B60">
        <w:t xml:space="preserve"> </w:t>
      </w:r>
      <w:r w:rsidR="00CC04A8">
        <w:t>QFES</w:t>
      </w:r>
      <w:r w:rsidR="005562AC">
        <w:t xml:space="preserve">, </w:t>
      </w:r>
      <w:r w:rsidR="00CC04A8">
        <w:t>QPS</w:t>
      </w:r>
      <w:r w:rsidR="005562AC">
        <w:t xml:space="preserve">, </w:t>
      </w:r>
      <w:r w:rsidR="00CC04A8">
        <w:t>DC</w:t>
      </w:r>
      <w:r w:rsidR="00120B60">
        <w:t>D</w:t>
      </w:r>
      <w:r w:rsidR="00CC04A8">
        <w:t>SS</w:t>
      </w:r>
      <w:r w:rsidR="005562AC">
        <w:t xml:space="preserve">, </w:t>
      </w:r>
      <w:r w:rsidR="00120B60">
        <w:t>QH</w:t>
      </w:r>
      <w:r w:rsidR="005562AC">
        <w:t xml:space="preserve">, </w:t>
      </w:r>
      <w:r w:rsidR="00120B60">
        <w:t>QRA</w:t>
      </w:r>
      <w:r w:rsidR="005562AC">
        <w:t xml:space="preserve">, </w:t>
      </w:r>
      <w:r w:rsidR="00CC04A8">
        <w:t>LGAQ</w:t>
      </w:r>
      <w:r w:rsidR="005562AC">
        <w:t xml:space="preserve">, </w:t>
      </w:r>
      <w:r w:rsidR="00120B60">
        <w:t>Brisbane City Council</w:t>
      </w:r>
      <w:r w:rsidR="005562AC">
        <w:t xml:space="preserve">, </w:t>
      </w:r>
      <w:r w:rsidR="00120B60">
        <w:t>Australian Red Cross</w:t>
      </w:r>
      <w:r w:rsidR="005562AC">
        <w:t xml:space="preserve">, </w:t>
      </w:r>
      <w:r w:rsidR="00B61A5E">
        <w:t>Griffith University</w:t>
      </w:r>
      <w:r w:rsidR="005562AC">
        <w:t>,</w:t>
      </w:r>
      <w:r w:rsidR="00B61A5E">
        <w:t xml:space="preserve"> and Queensland University of Technology</w:t>
      </w:r>
      <w:r w:rsidR="00CC04A8">
        <w:t xml:space="preserve"> (QUT)</w:t>
      </w:r>
      <w:r w:rsidR="00B61A5E">
        <w:t>.</w:t>
      </w:r>
    </w:p>
    <w:p w14:paraId="3DFA22CD" w14:textId="45B5C26A" w:rsidR="007556D9" w:rsidRPr="007556D9" w:rsidRDefault="007556D9" w:rsidP="007556D9">
      <w:pPr>
        <w:ind w:left="-142"/>
        <w:rPr>
          <w:szCs w:val="22"/>
        </w:rPr>
      </w:pPr>
      <w:r>
        <w:rPr>
          <w:szCs w:val="22"/>
        </w:rPr>
        <w:t>At</w:t>
      </w:r>
      <w:r w:rsidRPr="007556D9">
        <w:rPr>
          <w:szCs w:val="22"/>
        </w:rPr>
        <w:t xml:space="preserve">tendance at </w:t>
      </w:r>
      <w:r>
        <w:rPr>
          <w:szCs w:val="22"/>
        </w:rPr>
        <w:t xml:space="preserve">Advisory Panel </w:t>
      </w:r>
      <w:r w:rsidRPr="007556D9">
        <w:rPr>
          <w:szCs w:val="22"/>
        </w:rPr>
        <w:t>meetings remain</w:t>
      </w:r>
      <w:r>
        <w:rPr>
          <w:szCs w:val="22"/>
        </w:rPr>
        <w:t>ed</w:t>
      </w:r>
      <w:r w:rsidRPr="007556D9">
        <w:rPr>
          <w:szCs w:val="22"/>
        </w:rPr>
        <w:t xml:space="preserve"> strong, ensuring the ongoing contribution of valued expertise to </w:t>
      </w:r>
      <w:r>
        <w:rPr>
          <w:szCs w:val="22"/>
        </w:rPr>
        <w:t xml:space="preserve">the Office’s </w:t>
      </w:r>
      <w:r w:rsidRPr="007556D9">
        <w:rPr>
          <w:szCs w:val="22"/>
        </w:rPr>
        <w:t>activities. Input was provided into a range of critical emergency management issues including recovery governance</w:t>
      </w:r>
      <w:r w:rsidR="00292DA9">
        <w:rPr>
          <w:szCs w:val="22"/>
        </w:rPr>
        <w:t>,</w:t>
      </w:r>
      <w:r w:rsidRPr="007556D9">
        <w:rPr>
          <w:szCs w:val="22"/>
        </w:rPr>
        <w:t xml:space="preserve"> evacuation management arrangements</w:t>
      </w:r>
      <w:r w:rsidR="00292DA9">
        <w:rPr>
          <w:szCs w:val="22"/>
        </w:rPr>
        <w:t>,</w:t>
      </w:r>
      <w:r w:rsidRPr="007556D9">
        <w:rPr>
          <w:szCs w:val="22"/>
        </w:rPr>
        <w:t xml:space="preserve"> lessons management</w:t>
      </w:r>
      <w:r w:rsidR="00292DA9">
        <w:rPr>
          <w:szCs w:val="22"/>
        </w:rPr>
        <w:t>,</w:t>
      </w:r>
      <w:r w:rsidRPr="007556D9">
        <w:rPr>
          <w:szCs w:val="22"/>
        </w:rPr>
        <w:t xml:space="preserve"> and the Office’s strategic direction.  </w:t>
      </w:r>
    </w:p>
    <w:p w14:paraId="4015F681" w14:textId="77777777" w:rsidR="004A4B6C" w:rsidRDefault="002E7335" w:rsidP="006D0FF1">
      <w:pPr>
        <w:pStyle w:val="Heading3"/>
      </w:pPr>
      <w:r>
        <w:lastRenderedPageBreak/>
        <w:t xml:space="preserve">Innovative platforms and systems </w:t>
      </w:r>
      <w:r w:rsidR="004A4B6C">
        <w:t xml:space="preserve"> </w:t>
      </w:r>
    </w:p>
    <w:p w14:paraId="259E7926" w14:textId="77777777" w:rsidR="002E7335" w:rsidRPr="00C738F0" w:rsidRDefault="002E7335" w:rsidP="00C738F0">
      <w:pPr>
        <w:ind w:left="-142"/>
        <w:rPr>
          <w:szCs w:val="22"/>
        </w:rPr>
      </w:pPr>
      <w:r w:rsidRPr="00C738F0">
        <w:rPr>
          <w:szCs w:val="22"/>
        </w:rPr>
        <w:t>The Office applied innovative platforms, systems and processes to support the delivery of quality services to key stakeholders during 2017-18.</w:t>
      </w:r>
    </w:p>
    <w:p w14:paraId="4B9A68D1" w14:textId="77777777" w:rsidR="00E91859" w:rsidRPr="00C738F0" w:rsidRDefault="00E91859" w:rsidP="00E91859">
      <w:pPr>
        <w:ind w:left="-142"/>
        <w:rPr>
          <w:rFonts w:eastAsia="Times New Roman"/>
          <w:szCs w:val="22"/>
        </w:rPr>
      </w:pPr>
      <w:r w:rsidRPr="00C738F0">
        <w:rPr>
          <w:rFonts w:eastAsia="Times New Roman"/>
          <w:szCs w:val="22"/>
        </w:rPr>
        <w:t xml:space="preserve">The Office recently partnered with the </w:t>
      </w:r>
      <w:r w:rsidR="00EF1E1B">
        <w:rPr>
          <w:rFonts w:eastAsia="Times New Roman"/>
          <w:szCs w:val="22"/>
        </w:rPr>
        <w:t xml:space="preserve">DHPW </w:t>
      </w:r>
      <w:r w:rsidRPr="00C738F0">
        <w:rPr>
          <w:rFonts w:eastAsia="Times New Roman"/>
          <w:szCs w:val="22"/>
        </w:rPr>
        <w:t xml:space="preserve">to share insights about the annual assessment of disaster management plans across the State through an interactive dashboard. The dashboard leverages leading-edge software to enable local governments to examine their assessment data in new ways </w:t>
      </w:r>
      <w:r w:rsidRPr="00B80B5B">
        <w:rPr>
          <w:rFonts w:eastAsia="Times New Roman"/>
          <w:szCs w:val="22"/>
        </w:rPr>
        <w:t>(refer page</w:t>
      </w:r>
      <w:r w:rsidR="00527E5F" w:rsidRPr="00B80B5B">
        <w:rPr>
          <w:rFonts w:eastAsia="Times New Roman"/>
          <w:szCs w:val="22"/>
        </w:rPr>
        <w:t xml:space="preserve">s </w:t>
      </w:r>
      <w:r w:rsidR="00527E5F" w:rsidRPr="00904467">
        <w:rPr>
          <w:rFonts w:eastAsia="Times New Roman"/>
          <w:szCs w:val="22"/>
        </w:rPr>
        <w:t>16 to 17</w:t>
      </w:r>
      <w:r w:rsidRPr="00904467">
        <w:rPr>
          <w:rFonts w:eastAsia="Times New Roman"/>
          <w:szCs w:val="22"/>
        </w:rPr>
        <w:t>).</w:t>
      </w:r>
      <w:r w:rsidRPr="00C738F0">
        <w:rPr>
          <w:rFonts w:eastAsia="Times New Roman"/>
          <w:szCs w:val="22"/>
        </w:rPr>
        <w:t xml:space="preserve"> </w:t>
      </w:r>
      <w:r w:rsidR="0034255C">
        <w:rPr>
          <w:rFonts w:eastAsia="Times New Roman"/>
          <w:szCs w:val="22"/>
        </w:rPr>
        <w:t xml:space="preserve">It combines </w:t>
      </w:r>
      <w:r w:rsidRPr="00C738F0">
        <w:rPr>
          <w:rFonts w:eastAsia="Times New Roman"/>
          <w:szCs w:val="22"/>
        </w:rPr>
        <w:t xml:space="preserve">three years of self-reported emergency management planning data with population, revenue and disaster activation data to provide a rich picture of a region’s confidence in disaster management. </w:t>
      </w:r>
    </w:p>
    <w:p w14:paraId="7DB3F4BC" w14:textId="3E614164" w:rsidR="00593A70" w:rsidRPr="00C738F0" w:rsidRDefault="00292DA9" w:rsidP="00C738F0">
      <w:pPr>
        <w:ind w:left="-142"/>
        <w:rPr>
          <w:rFonts w:eastAsia="Times New Roman"/>
          <w:szCs w:val="22"/>
        </w:rPr>
      </w:pPr>
      <w:r>
        <w:rPr>
          <w:rFonts w:eastAsia="Times New Roman"/>
          <w:szCs w:val="22"/>
        </w:rPr>
        <w:t xml:space="preserve">The </w:t>
      </w:r>
      <w:r w:rsidR="002E7335" w:rsidRPr="0086349B">
        <w:rPr>
          <w:rFonts w:eastAsia="Times New Roman"/>
          <w:szCs w:val="22"/>
        </w:rPr>
        <w:t>Collaboration Zone</w:t>
      </w:r>
      <w:r w:rsidR="002E7335" w:rsidRPr="00C738F0">
        <w:rPr>
          <w:rFonts w:eastAsia="Times New Roman"/>
          <w:szCs w:val="22"/>
        </w:rPr>
        <w:t xml:space="preserve">, a secure </w:t>
      </w:r>
      <w:r w:rsidR="00827F5C">
        <w:rPr>
          <w:rFonts w:eastAsia="Times New Roman"/>
          <w:szCs w:val="22"/>
        </w:rPr>
        <w:t xml:space="preserve">online </w:t>
      </w:r>
      <w:r w:rsidR="002E7335" w:rsidRPr="00C738F0">
        <w:rPr>
          <w:rFonts w:eastAsia="Times New Roman"/>
          <w:szCs w:val="22"/>
        </w:rPr>
        <w:t xml:space="preserve">platform </w:t>
      </w:r>
      <w:r w:rsidR="00593A70" w:rsidRPr="00C738F0">
        <w:rPr>
          <w:rFonts w:eastAsia="Times New Roman"/>
          <w:szCs w:val="22"/>
        </w:rPr>
        <w:t xml:space="preserve">released in 2016 </w:t>
      </w:r>
      <w:r w:rsidR="00BB50F3">
        <w:rPr>
          <w:rFonts w:eastAsia="Times New Roman"/>
          <w:szCs w:val="22"/>
        </w:rPr>
        <w:t xml:space="preserve">to </w:t>
      </w:r>
      <w:r w:rsidR="00593A70" w:rsidRPr="00C738F0">
        <w:rPr>
          <w:rFonts w:eastAsia="Times New Roman"/>
          <w:szCs w:val="22"/>
        </w:rPr>
        <w:t xml:space="preserve">support information sharing within key stakeholder groups, </w:t>
      </w:r>
      <w:r w:rsidR="002E7335" w:rsidRPr="00C738F0">
        <w:rPr>
          <w:rFonts w:eastAsia="Times New Roman"/>
          <w:szCs w:val="22"/>
        </w:rPr>
        <w:t xml:space="preserve">continued to grow in usage. Individual zones </w:t>
      </w:r>
      <w:r w:rsidR="00593A70" w:rsidRPr="00C738F0">
        <w:rPr>
          <w:rFonts w:eastAsia="Times New Roman"/>
          <w:szCs w:val="22"/>
        </w:rPr>
        <w:t>were developed to:</w:t>
      </w:r>
    </w:p>
    <w:p w14:paraId="7BC0D631" w14:textId="77777777" w:rsidR="00593A70" w:rsidRPr="00C738F0" w:rsidRDefault="00593A70" w:rsidP="0017125F">
      <w:pPr>
        <w:pStyle w:val="ListParagraph"/>
        <w:numPr>
          <w:ilvl w:val="0"/>
          <w:numId w:val="16"/>
        </w:numPr>
        <w:ind w:hanging="502"/>
        <w:contextualSpacing w:val="0"/>
        <w:rPr>
          <w:szCs w:val="22"/>
        </w:rPr>
      </w:pPr>
      <w:r w:rsidRPr="00C738F0">
        <w:rPr>
          <w:rFonts w:eastAsia="Times New Roman"/>
          <w:szCs w:val="22"/>
        </w:rPr>
        <w:t>connect academics with disaster management practitioners for research purposes</w:t>
      </w:r>
      <w:r w:rsidRPr="00C738F0">
        <w:rPr>
          <w:szCs w:val="22"/>
        </w:rPr>
        <w:t xml:space="preserve"> </w:t>
      </w:r>
    </w:p>
    <w:p w14:paraId="2FE6066B" w14:textId="77777777" w:rsidR="00593A70" w:rsidRPr="00C738F0" w:rsidRDefault="0034255C" w:rsidP="0017125F">
      <w:pPr>
        <w:pStyle w:val="ListParagraph"/>
        <w:numPr>
          <w:ilvl w:val="0"/>
          <w:numId w:val="16"/>
        </w:numPr>
        <w:ind w:hanging="502"/>
        <w:contextualSpacing w:val="0"/>
        <w:rPr>
          <w:szCs w:val="22"/>
        </w:rPr>
      </w:pPr>
      <w:r>
        <w:rPr>
          <w:rFonts w:eastAsia="Times New Roman"/>
          <w:szCs w:val="22"/>
        </w:rPr>
        <w:t xml:space="preserve">support </w:t>
      </w:r>
      <w:r w:rsidR="00593A70" w:rsidRPr="00C738F0">
        <w:rPr>
          <w:rFonts w:eastAsia="Times New Roman"/>
          <w:szCs w:val="22"/>
        </w:rPr>
        <w:t>inter-jurisdictional sharing of emergency management assurance policy and practice</w:t>
      </w:r>
    </w:p>
    <w:p w14:paraId="26911103" w14:textId="77777777" w:rsidR="00593A70" w:rsidRPr="00C738F0" w:rsidRDefault="00593A70" w:rsidP="0017125F">
      <w:pPr>
        <w:pStyle w:val="ListParagraph"/>
        <w:numPr>
          <w:ilvl w:val="0"/>
          <w:numId w:val="16"/>
        </w:numPr>
        <w:ind w:hanging="502"/>
        <w:contextualSpacing w:val="0"/>
        <w:rPr>
          <w:szCs w:val="22"/>
        </w:rPr>
      </w:pPr>
      <w:r w:rsidRPr="00C738F0">
        <w:rPr>
          <w:rFonts w:eastAsia="Times New Roman"/>
          <w:szCs w:val="22"/>
        </w:rPr>
        <w:t xml:space="preserve">enable experts in Queensland’s emergency management sector to contribute to the </w:t>
      </w:r>
      <w:r w:rsidR="00BB50F3">
        <w:rPr>
          <w:rFonts w:eastAsia="Times New Roman"/>
          <w:szCs w:val="22"/>
        </w:rPr>
        <w:t xml:space="preserve">development of a </w:t>
      </w:r>
      <w:r w:rsidRPr="00C738F0">
        <w:rPr>
          <w:rFonts w:eastAsia="Times New Roman"/>
          <w:szCs w:val="22"/>
        </w:rPr>
        <w:t>lessons management program</w:t>
      </w:r>
      <w:r w:rsidRPr="00C738F0">
        <w:rPr>
          <w:szCs w:val="22"/>
        </w:rPr>
        <w:t>.</w:t>
      </w:r>
    </w:p>
    <w:p w14:paraId="26466746" w14:textId="364F155F" w:rsidR="00BB50F3" w:rsidRDefault="001D5A43" w:rsidP="00C738F0">
      <w:pPr>
        <w:ind w:left="-142"/>
        <w:rPr>
          <w:rFonts w:eastAsia="Times New Roman"/>
          <w:szCs w:val="22"/>
        </w:rPr>
      </w:pPr>
      <w:r>
        <w:rPr>
          <w:rFonts w:eastAsia="Times New Roman"/>
          <w:szCs w:val="22"/>
        </w:rPr>
        <w:t>I</w:t>
      </w:r>
      <w:r w:rsidR="00BB50F3">
        <w:rPr>
          <w:rFonts w:eastAsia="Times New Roman"/>
          <w:szCs w:val="22"/>
        </w:rPr>
        <w:t xml:space="preserve">n </w:t>
      </w:r>
      <w:r w:rsidR="00BB50F3" w:rsidRPr="00C738F0">
        <w:rPr>
          <w:rFonts w:eastAsia="Times New Roman"/>
          <w:szCs w:val="22"/>
        </w:rPr>
        <w:t>support of the sys</w:t>
      </w:r>
      <w:r w:rsidR="0034255C">
        <w:rPr>
          <w:rFonts w:eastAsia="Times New Roman"/>
          <w:szCs w:val="22"/>
        </w:rPr>
        <w:t>tem-</w:t>
      </w:r>
      <w:r w:rsidR="00BB50F3" w:rsidRPr="00C738F0">
        <w:rPr>
          <w:rFonts w:eastAsia="Times New Roman"/>
          <w:szCs w:val="22"/>
        </w:rPr>
        <w:t>wide lessons manag</w:t>
      </w:r>
      <w:r w:rsidR="00C82406">
        <w:rPr>
          <w:rFonts w:eastAsia="Times New Roman"/>
          <w:szCs w:val="22"/>
        </w:rPr>
        <w:t xml:space="preserve">ement program (refer page </w:t>
      </w:r>
      <w:r w:rsidR="00C82406" w:rsidRPr="00904467">
        <w:rPr>
          <w:rFonts w:eastAsia="Times New Roman"/>
          <w:szCs w:val="22"/>
        </w:rPr>
        <w:t>16</w:t>
      </w:r>
      <w:r w:rsidR="00BB50F3" w:rsidRPr="00904467">
        <w:rPr>
          <w:rFonts w:eastAsia="Times New Roman"/>
          <w:szCs w:val="22"/>
        </w:rPr>
        <w:t>)</w:t>
      </w:r>
      <w:r w:rsidR="00BB50F3" w:rsidRPr="00C738F0">
        <w:rPr>
          <w:rFonts w:eastAsia="Times New Roman"/>
          <w:szCs w:val="22"/>
        </w:rPr>
        <w:t>, the Office</w:t>
      </w:r>
      <w:r w:rsidR="006D7103">
        <w:rPr>
          <w:rFonts w:eastAsia="Times New Roman"/>
          <w:szCs w:val="22"/>
        </w:rPr>
        <w:t xml:space="preserve"> has </w:t>
      </w:r>
      <w:r w:rsidR="00BB50F3" w:rsidRPr="00C738F0">
        <w:rPr>
          <w:rFonts w:eastAsia="Times New Roman"/>
          <w:szCs w:val="22"/>
        </w:rPr>
        <w:t>participat</w:t>
      </w:r>
      <w:r w:rsidR="006D7103">
        <w:rPr>
          <w:rFonts w:eastAsia="Times New Roman"/>
          <w:szCs w:val="22"/>
        </w:rPr>
        <w:t xml:space="preserve">ed </w:t>
      </w:r>
      <w:r w:rsidR="00BB50F3" w:rsidRPr="00C738F0">
        <w:rPr>
          <w:rFonts w:eastAsia="Times New Roman"/>
          <w:szCs w:val="22"/>
        </w:rPr>
        <w:t xml:space="preserve">in the </w:t>
      </w:r>
      <w:r w:rsidR="00BB50F3" w:rsidRPr="00904467">
        <w:rPr>
          <w:rFonts w:eastAsia="Times New Roman"/>
          <w:i/>
          <w:szCs w:val="22"/>
        </w:rPr>
        <w:t>Advance Queensland Testing Within Government (TW</w:t>
      </w:r>
      <w:r w:rsidR="00EB6718" w:rsidRPr="00904467">
        <w:rPr>
          <w:rFonts w:eastAsia="Times New Roman"/>
          <w:i/>
          <w:szCs w:val="22"/>
        </w:rPr>
        <w:t>i</w:t>
      </w:r>
      <w:r w:rsidR="00BB50F3" w:rsidRPr="00904467">
        <w:rPr>
          <w:rFonts w:eastAsia="Times New Roman"/>
          <w:i/>
          <w:szCs w:val="22"/>
        </w:rPr>
        <w:t>G) Program</w:t>
      </w:r>
      <w:r w:rsidR="006D7103">
        <w:rPr>
          <w:rFonts w:eastAsia="Times New Roman"/>
          <w:szCs w:val="22"/>
        </w:rPr>
        <w:t xml:space="preserve">, and </w:t>
      </w:r>
      <w:r w:rsidR="00BB50F3">
        <w:rPr>
          <w:rFonts w:eastAsia="Times New Roman"/>
          <w:szCs w:val="22"/>
        </w:rPr>
        <w:t xml:space="preserve">is </w:t>
      </w:r>
      <w:r w:rsidR="00BB50F3" w:rsidRPr="00C738F0">
        <w:rPr>
          <w:rFonts w:eastAsia="Times New Roman"/>
          <w:szCs w:val="22"/>
        </w:rPr>
        <w:t xml:space="preserve">exploring </w:t>
      </w:r>
      <w:r w:rsidR="00BB50F3">
        <w:rPr>
          <w:rFonts w:eastAsia="Times New Roman"/>
          <w:szCs w:val="22"/>
        </w:rPr>
        <w:t>the</w:t>
      </w:r>
      <w:r w:rsidR="00BB50F3" w:rsidRPr="00C738F0">
        <w:rPr>
          <w:rFonts w:eastAsia="Times New Roman"/>
          <w:szCs w:val="22"/>
        </w:rPr>
        <w:t xml:space="preserve"> opportunity to work with a small to medium sized enterprise</w:t>
      </w:r>
      <w:r w:rsidR="00BB50F3">
        <w:rPr>
          <w:rFonts w:eastAsia="Times New Roman"/>
          <w:szCs w:val="22"/>
        </w:rPr>
        <w:t xml:space="preserve"> to d</w:t>
      </w:r>
      <w:r w:rsidR="00BB50F3" w:rsidRPr="00C738F0">
        <w:rPr>
          <w:rFonts w:eastAsia="Times New Roman"/>
          <w:szCs w:val="22"/>
        </w:rPr>
        <w:t xml:space="preserve">evelop an innovative solution </w:t>
      </w:r>
      <w:r w:rsidR="00BB50F3">
        <w:rPr>
          <w:rFonts w:eastAsia="Times New Roman"/>
          <w:szCs w:val="22"/>
        </w:rPr>
        <w:t xml:space="preserve">that will enable the sector to </w:t>
      </w:r>
      <w:r w:rsidR="00BB50F3" w:rsidRPr="00C738F0">
        <w:rPr>
          <w:rFonts w:eastAsia="Times New Roman"/>
          <w:szCs w:val="22"/>
        </w:rPr>
        <w:t>better understand data and information about dealing with disasters across Queensland</w:t>
      </w:r>
      <w:r w:rsidR="00BB50F3">
        <w:rPr>
          <w:rFonts w:eastAsia="Times New Roman"/>
          <w:szCs w:val="22"/>
        </w:rPr>
        <w:t>.</w:t>
      </w:r>
    </w:p>
    <w:p w14:paraId="75F4B155" w14:textId="4413205D" w:rsidR="002E7335" w:rsidRDefault="00593A70" w:rsidP="00C738F0">
      <w:pPr>
        <w:ind w:left="-142"/>
        <w:rPr>
          <w:rFonts w:eastAsia="Times New Roman"/>
          <w:szCs w:val="22"/>
        </w:rPr>
      </w:pPr>
      <w:r w:rsidRPr="00C738F0">
        <w:rPr>
          <w:rFonts w:eastAsia="Times New Roman"/>
          <w:szCs w:val="22"/>
        </w:rPr>
        <w:t xml:space="preserve">A </w:t>
      </w:r>
      <w:r w:rsidR="00590C51">
        <w:rPr>
          <w:rFonts w:eastAsia="Times New Roman"/>
          <w:szCs w:val="22"/>
        </w:rPr>
        <w:t xml:space="preserve">secure </w:t>
      </w:r>
      <w:r w:rsidRPr="00C738F0">
        <w:rPr>
          <w:rFonts w:eastAsia="Times New Roman"/>
          <w:szCs w:val="22"/>
        </w:rPr>
        <w:t xml:space="preserve">online platform, Basecamp, continued to underpin the award-winning </w:t>
      </w:r>
      <w:r w:rsidR="00A86920" w:rsidRPr="00C738F0">
        <w:rPr>
          <w:rFonts w:eastAsia="Times New Roman"/>
          <w:szCs w:val="22"/>
        </w:rPr>
        <w:t xml:space="preserve">DMO </w:t>
      </w:r>
      <w:r w:rsidR="0086349B">
        <w:rPr>
          <w:rFonts w:eastAsia="Times New Roman"/>
          <w:szCs w:val="22"/>
        </w:rPr>
        <w:t>N</w:t>
      </w:r>
      <w:r w:rsidR="00A86920" w:rsidRPr="00C738F0">
        <w:rPr>
          <w:rFonts w:eastAsia="Times New Roman"/>
          <w:szCs w:val="22"/>
        </w:rPr>
        <w:t xml:space="preserve">etwork. The platform </w:t>
      </w:r>
      <w:r w:rsidR="00BB50F3">
        <w:rPr>
          <w:rFonts w:eastAsia="Times New Roman"/>
          <w:szCs w:val="22"/>
        </w:rPr>
        <w:t xml:space="preserve">enabled </w:t>
      </w:r>
      <w:r w:rsidRPr="00C738F0">
        <w:rPr>
          <w:rFonts w:eastAsia="Times New Roman"/>
          <w:szCs w:val="22"/>
        </w:rPr>
        <w:t xml:space="preserve">those in local government </w:t>
      </w:r>
      <w:r w:rsidR="00BB50F3">
        <w:rPr>
          <w:rFonts w:eastAsia="Times New Roman"/>
          <w:szCs w:val="22"/>
        </w:rPr>
        <w:t xml:space="preserve">to connect </w:t>
      </w:r>
      <w:r w:rsidRPr="00C738F0">
        <w:rPr>
          <w:rFonts w:eastAsia="Times New Roman"/>
          <w:szCs w:val="22"/>
        </w:rPr>
        <w:t>with their peers in the sector</w:t>
      </w:r>
      <w:r w:rsidR="00C43AE9">
        <w:rPr>
          <w:rFonts w:eastAsia="Times New Roman"/>
          <w:szCs w:val="22"/>
        </w:rPr>
        <w:t xml:space="preserve"> around a </w:t>
      </w:r>
      <w:r w:rsidR="0034255C">
        <w:rPr>
          <w:rFonts w:eastAsia="Times New Roman"/>
          <w:szCs w:val="22"/>
        </w:rPr>
        <w:t>range of key issues.</w:t>
      </w:r>
    </w:p>
    <w:p w14:paraId="4743FFF7" w14:textId="77777777" w:rsidR="001D5A43" w:rsidRDefault="001D5A43" w:rsidP="001D5A43">
      <w:pPr>
        <w:ind w:left="-142"/>
        <w:rPr>
          <w:lang w:eastAsia="en-AU"/>
        </w:rPr>
      </w:pPr>
      <w:r>
        <w:rPr>
          <w:rFonts w:eastAsia="Times New Roman"/>
          <w:szCs w:val="22"/>
        </w:rPr>
        <w:t xml:space="preserve">In 2017-18, the Office started to progressively implement Nexus, a Human Capital Management product. This activity was supported by </w:t>
      </w:r>
      <w:r w:rsidR="00EF1E1B">
        <w:rPr>
          <w:rFonts w:eastAsia="Times New Roman"/>
          <w:szCs w:val="22"/>
        </w:rPr>
        <w:t>QFES</w:t>
      </w:r>
      <w:r>
        <w:rPr>
          <w:rFonts w:eastAsia="Times New Roman"/>
          <w:szCs w:val="22"/>
        </w:rPr>
        <w:t xml:space="preserve"> and </w:t>
      </w:r>
      <w:r w:rsidR="00EF1E1B">
        <w:rPr>
          <w:rFonts w:eastAsia="Times New Roman"/>
          <w:szCs w:val="22"/>
        </w:rPr>
        <w:t>DHPW</w:t>
      </w:r>
      <w:r>
        <w:rPr>
          <w:rFonts w:eastAsia="Times New Roman"/>
          <w:szCs w:val="22"/>
        </w:rPr>
        <w:t xml:space="preserve">. </w:t>
      </w:r>
      <w:r>
        <w:rPr>
          <w:lang w:eastAsia="en-AU"/>
        </w:rPr>
        <w:t xml:space="preserve">Nexus went live in December 2017, enabling Office staff to access </w:t>
      </w:r>
      <w:bookmarkStart w:id="55" w:name="_Hlk520291623"/>
      <w:r>
        <w:rPr>
          <w:lang w:eastAsia="en-AU"/>
        </w:rPr>
        <w:t>a home page, profile and learning module. Implementation of Nexus will continue into 2018-19, and once fully rolled out will become a ‘</w:t>
      </w:r>
      <w:r>
        <w:t>one</w:t>
      </w:r>
      <w:r>
        <w:rPr>
          <w:lang w:eastAsia="en-AU"/>
        </w:rPr>
        <w:t>-stop-shop’ for recruitment, onboarding, learning, workplace health and safety, workforce reporting, case management, performance and goals, succession and development.</w:t>
      </w:r>
    </w:p>
    <w:bookmarkEnd w:id="55"/>
    <w:p w14:paraId="16BF8AC3" w14:textId="77777777" w:rsidR="00910CAF" w:rsidRDefault="00910CAF" w:rsidP="00C738F0">
      <w:pPr>
        <w:ind w:left="-142"/>
        <w:rPr>
          <w:rFonts w:eastAsia="Times New Roman"/>
          <w:szCs w:val="22"/>
        </w:rPr>
      </w:pPr>
      <w:r>
        <w:rPr>
          <w:rFonts w:eastAsia="Times New Roman"/>
          <w:szCs w:val="22"/>
        </w:rPr>
        <w:t xml:space="preserve">Work </w:t>
      </w:r>
      <w:r w:rsidR="001D5A43">
        <w:rPr>
          <w:rFonts w:eastAsia="Times New Roman"/>
          <w:szCs w:val="22"/>
        </w:rPr>
        <w:t xml:space="preserve">also </w:t>
      </w:r>
      <w:r>
        <w:rPr>
          <w:rFonts w:eastAsia="Times New Roman"/>
          <w:szCs w:val="22"/>
        </w:rPr>
        <w:t xml:space="preserve">commenced </w:t>
      </w:r>
      <w:r w:rsidR="001D5A43">
        <w:rPr>
          <w:rFonts w:eastAsia="Times New Roman"/>
          <w:szCs w:val="22"/>
        </w:rPr>
        <w:t xml:space="preserve">in 2017-18 </w:t>
      </w:r>
      <w:r>
        <w:rPr>
          <w:rFonts w:eastAsia="Times New Roman"/>
          <w:szCs w:val="22"/>
        </w:rPr>
        <w:t>to:</w:t>
      </w:r>
    </w:p>
    <w:p w14:paraId="4D3B211F" w14:textId="77777777" w:rsidR="00910CAF" w:rsidRPr="00910CAF" w:rsidRDefault="006B437E" w:rsidP="0017125F">
      <w:pPr>
        <w:pStyle w:val="ListParagraph"/>
        <w:numPr>
          <w:ilvl w:val="0"/>
          <w:numId w:val="16"/>
        </w:numPr>
        <w:ind w:hanging="502"/>
        <w:contextualSpacing w:val="0"/>
        <w:rPr>
          <w:szCs w:val="22"/>
        </w:rPr>
      </w:pPr>
      <w:r>
        <w:rPr>
          <w:rFonts w:eastAsia="Times New Roman"/>
          <w:szCs w:val="22"/>
        </w:rPr>
        <w:t xml:space="preserve">scope </w:t>
      </w:r>
      <w:r w:rsidR="00910CAF" w:rsidRPr="00910CAF">
        <w:rPr>
          <w:rFonts w:eastAsia="Times New Roman"/>
          <w:szCs w:val="22"/>
        </w:rPr>
        <w:t>a refresh of the Office’s website to ensure the Office’s online presence remains contemporary</w:t>
      </w:r>
    </w:p>
    <w:p w14:paraId="70728AA2" w14:textId="77777777" w:rsidR="00910CAF" w:rsidRDefault="006B437E" w:rsidP="0017125F">
      <w:pPr>
        <w:pStyle w:val="ListParagraph"/>
        <w:numPr>
          <w:ilvl w:val="0"/>
          <w:numId w:val="16"/>
        </w:numPr>
        <w:ind w:hanging="502"/>
        <w:contextualSpacing w:val="0"/>
        <w:rPr>
          <w:szCs w:val="22"/>
        </w:rPr>
      </w:pPr>
      <w:r>
        <w:rPr>
          <w:szCs w:val="22"/>
        </w:rPr>
        <w:t xml:space="preserve">procure and introduce </w:t>
      </w:r>
      <w:r w:rsidR="00F2420C">
        <w:rPr>
          <w:szCs w:val="22"/>
        </w:rPr>
        <w:t xml:space="preserve">software to </w:t>
      </w:r>
      <w:r w:rsidR="00F2420C" w:rsidRPr="00910CAF">
        <w:rPr>
          <w:szCs w:val="22"/>
        </w:rPr>
        <w:t>support better resource management, tracking and reporting</w:t>
      </w:r>
      <w:r w:rsidR="00F2420C">
        <w:rPr>
          <w:szCs w:val="22"/>
        </w:rPr>
        <w:t xml:space="preserve"> </w:t>
      </w:r>
      <w:r w:rsidR="009E4622">
        <w:rPr>
          <w:szCs w:val="22"/>
        </w:rPr>
        <w:t xml:space="preserve">against the </w:t>
      </w:r>
      <w:r w:rsidR="00910CAF" w:rsidRPr="00910CAF">
        <w:rPr>
          <w:szCs w:val="22"/>
        </w:rPr>
        <w:t xml:space="preserve">Office’s </w:t>
      </w:r>
      <w:r w:rsidR="009E4622">
        <w:rPr>
          <w:szCs w:val="22"/>
        </w:rPr>
        <w:t xml:space="preserve">key projects, </w:t>
      </w:r>
      <w:r w:rsidR="007239A5">
        <w:rPr>
          <w:szCs w:val="22"/>
        </w:rPr>
        <w:t>review and</w:t>
      </w:r>
      <w:r w:rsidR="00D0200F">
        <w:rPr>
          <w:szCs w:val="22"/>
        </w:rPr>
        <w:t xml:space="preserve"> assurance activities</w:t>
      </w:r>
    </w:p>
    <w:p w14:paraId="753D6A06" w14:textId="34167544" w:rsidR="00CB19DF" w:rsidRPr="00C738F0" w:rsidRDefault="00CB19DF" w:rsidP="0017125F">
      <w:pPr>
        <w:pStyle w:val="ListParagraph"/>
        <w:numPr>
          <w:ilvl w:val="0"/>
          <w:numId w:val="16"/>
        </w:numPr>
        <w:ind w:hanging="502"/>
        <w:contextualSpacing w:val="0"/>
        <w:rPr>
          <w:szCs w:val="22"/>
        </w:rPr>
      </w:pPr>
      <w:r>
        <w:rPr>
          <w:szCs w:val="22"/>
        </w:rPr>
        <w:t>scope and develop a tailor-made repository on the Basecamp platform to better facilitate the sharing and access of documents, materials and examples of good practice within the Disaster Management Officers</w:t>
      </w:r>
      <w:r w:rsidR="008F50BB">
        <w:rPr>
          <w:szCs w:val="22"/>
        </w:rPr>
        <w:t>’</w:t>
      </w:r>
      <w:r>
        <w:rPr>
          <w:szCs w:val="22"/>
        </w:rPr>
        <w:t xml:space="preserve"> Network. </w:t>
      </w:r>
    </w:p>
    <w:p w14:paraId="50196E13" w14:textId="77777777" w:rsidR="003B7785" w:rsidRDefault="00B36D76" w:rsidP="006D0FF1">
      <w:pPr>
        <w:pStyle w:val="Heading3"/>
      </w:pPr>
      <w:r>
        <w:t xml:space="preserve">Research framework </w:t>
      </w:r>
      <w:r w:rsidR="00C81096">
        <w:t>and engagement with universities</w:t>
      </w:r>
    </w:p>
    <w:p w14:paraId="7AA0BF84" w14:textId="77777777" w:rsidR="004A4B6C" w:rsidRDefault="003B7785" w:rsidP="005914FB">
      <w:pPr>
        <w:ind w:left="-142"/>
      </w:pPr>
      <w:r>
        <w:t xml:space="preserve">The Office </w:t>
      </w:r>
      <w:r w:rsidR="004A4B6C">
        <w:t xml:space="preserve">continued to collaboratively develop and promote disaster management research for the Queensland context during 2017-18. </w:t>
      </w:r>
    </w:p>
    <w:p w14:paraId="03E02B62" w14:textId="77777777" w:rsidR="004A4B6C" w:rsidRDefault="005914FB" w:rsidP="005914FB">
      <w:pPr>
        <w:ind w:left="-142"/>
      </w:pPr>
      <w:r>
        <w:t xml:space="preserve">A </w:t>
      </w:r>
      <w:r w:rsidR="004A4B6C">
        <w:t xml:space="preserve">peer-driven </w:t>
      </w:r>
      <w:r>
        <w:t xml:space="preserve">research </w:t>
      </w:r>
      <w:r w:rsidR="004A4B6C">
        <w:t>framework</w:t>
      </w:r>
      <w:r>
        <w:t xml:space="preserve">, </w:t>
      </w:r>
      <w:r w:rsidRPr="005E4D92">
        <w:t>initiated by the Office in 2016-17,</w:t>
      </w:r>
      <w:r w:rsidR="004A4B6C" w:rsidRPr="005E4D92">
        <w:t xml:space="preserve"> nurture</w:t>
      </w:r>
      <w:r w:rsidR="00050E13" w:rsidRPr="005E4D92">
        <w:t>d</w:t>
      </w:r>
      <w:r w:rsidR="004A4B6C">
        <w:t xml:space="preserve"> partnerships, cooperation and understanding between institutions, government agencies and disaster management practitioners. </w:t>
      </w:r>
      <w:r>
        <w:t>A network of champions from the tertiary and disaster management sectors continue</w:t>
      </w:r>
      <w:r w:rsidR="004E393C">
        <w:t>d</w:t>
      </w:r>
      <w:r>
        <w:t xml:space="preserve"> to oversee the framework, and a dedicated advisory group </w:t>
      </w:r>
      <w:r w:rsidR="009E4622">
        <w:t>was</w:t>
      </w:r>
      <w:r>
        <w:t xml:space="preserve"> established to drive collaborative initiatives. </w:t>
      </w:r>
    </w:p>
    <w:p w14:paraId="49ED0EF7" w14:textId="77777777" w:rsidR="004E393C" w:rsidRDefault="004E393C" w:rsidP="001604E3">
      <w:pPr>
        <w:ind w:left="-142"/>
      </w:pPr>
      <w:r>
        <w:t xml:space="preserve">Development and implementation of the framework was supported by an online platform in 2017-18, enabling effective discussions between disaster management practitioners and researchers. </w:t>
      </w:r>
    </w:p>
    <w:p w14:paraId="2663F4B2" w14:textId="77777777" w:rsidR="00D55E39" w:rsidRDefault="00D55E39" w:rsidP="00D55E39">
      <w:pPr>
        <w:ind w:left="-142"/>
      </w:pPr>
      <w:r>
        <w:lastRenderedPageBreak/>
        <w:t>A Research Community of Practice hosted by the Office continued to grow</w:t>
      </w:r>
      <w:r w:rsidR="00EB6718">
        <w:t>. A d</w:t>
      </w:r>
      <w:r>
        <w:t>atabase of more than 130 university researchers specialising in disaster and emergency management f</w:t>
      </w:r>
      <w:r w:rsidR="00EB6718">
        <w:t>rom a broad range of disciplines has been developed.</w:t>
      </w:r>
    </w:p>
    <w:p w14:paraId="63AF17C5" w14:textId="77777777" w:rsidR="001604E3" w:rsidRDefault="001604E3" w:rsidP="004A33A2">
      <w:pPr>
        <w:ind w:left="-142"/>
      </w:pPr>
      <w:r>
        <w:t>Current research projects involving the Office include:</w:t>
      </w:r>
    </w:p>
    <w:p w14:paraId="4F2FC8DE" w14:textId="77777777" w:rsidR="001604E3" w:rsidRDefault="001604E3" w:rsidP="0017125F">
      <w:pPr>
        <w:pStyle w:val="ListParagraph"/>
        <w:numPr>
          <w:ilvl w:val="0"/>
          <w:numId w:val="16"/>
        </w:numPr>
        <w:ind w:hanging="502"/>
        <w:contextualSpacing w:val="0"/>
      </w:pPr>
      <w:r>
        <w:t>a practical proof of concept investigation and exercise looking at the use of augmented and virtual reality in a disaster scenario, using Q</w:t>
      </w:r>
      <w:r w:rsidR="00C82406">
        <w:t xml:space="preserve">UT’s </w:t>
      </w:r>
      <w:r w:rsidR="00AD2241">
        <w:t>Gardens Point campus</w:t>
      </w:r>
    </w:p>
    <w:p w14:paraId="7739C07D" w14:textId="77777777" w:rsidR="004A33A2" w:rsidRDefault="004A33A2" w:rsidP="0017125F">
      <w:pPr>
        <w:pStyle w:val="ListParagraph"/>
        <w:numPr>
          <w:ilvl w:val="0"/>
          <w:numId w:val="16"/>
        </w:numPr>
        <w:ind w:hanging="502"/>
        <w:contextualSpacing w:val="0"/>
      </w:pPr>
      <w:r>
        <w:t xml:space="preserve">an audit, benchmark, literature review and needs analysis of practitioners across Queensland in relation to the data and information they need to make evidence-based decisions at the local level, in partnership with Griffith University </w:t>
      </w:r>
    </w:p>
    <w:p w14:paraId="7D9A856D" w14:textId="77777777" w:rsidR="001604E3" w:rsidRDefault="001604E3" w:rsidP="0017125F">
      <w:pPr>
        <w:pStyle w:val="ListParagraph"/>
        <w:numPr>
          <w:ilvl w:val="0"/>
          <w:numId w:val="16"/>
        </w:numPr>
        <w:ind w:hanging="502"/>
        <w:contextualSpacing w:val="0"/>
      </w:pPr>
      <w:r>
        <w:t>scoping of the potential use of augmented and virtual reality in the context of evacuation from aged care facilities across Queensland</w:t>
      </w:r>
    </w:p>
    <w:p w14:paraId="2BFD96EB" w14:textId="58849F7D" w:rsidR="001604E3" w:rsidRDefault="00AD2241" w:rsidP="0017125F">
      <w:pPr>
        <w:pStyle w:val="ListParagraph"/>
        <w:numPr>
          <w:ilvl w:val="0"/>
          <w:numId w:val="16"/>
        </w:numPr>
        <w:ind w:hanging="502"/>
        <w:contextualSpacing w:val="0"/>
      </w:pPr>
      <w:r>
        <w:t xml:space="preserve">a study and literature review to identify good practice in community engagement in a disaster management context, </w:t>
      </w:r>
      <w:r w:rsidR="00CB19DF">
        <w:t xml:space="preserve">creation of a community preparedness competency index, </w:t>
      </w:r>
      <w:r>
        <w:t xml:space="preserve">and development of a </w:t>
      </w:r>
      <w:r w:rsidR="00CB19DF">
        <w:t xml:space="preserve">framework and </w:t>
      </w:r>
      <w:r>
        <w:t xml:space="preserve">toolkit for use by practitioners at the local level, in partnership with </w:t>
      </w:r>
      <w:r w:rsidR="00EF1E1B">
        <w:t>QUT</w:t>
      </w:r>
      <w:r>
        <w:t xml:space="preserve"> and University of Southern Queensland. </w:t>
      </w:r>
    </w:p>
    <w:p w14:paraId="3A9373A3" w14:textId="329AAF22" w:rsidR="004E393C" w:rsidRDefault="00FF3AB7" w:rsidP="005914FB">
      <w:pPr>
        <w:ind w:left="-142"/>
      </w:pPr>
      <w:r>
        <w:t xml:space="preserve">During 2017-18, the Office continued to support undergraduate studies in disaster management through a Memorandum of Understanding (MOU) with </w:t>
      </w:r>
      <w:r w:rsidR="00EF1E1B">
        <w:t>QUT</w:t>
      </w:r>
      <w:r>
        <w:t>. This MOU incl</w:t>
      </w:r>
      <w:r w:rsidR="00EB6718">
        <w:t xml:space="preserve">udes a </w:t>
      </w:r>
      <w:r w:rsidR="00CB19DF">
        <w:t>10</w:t>
      </w:r>
      <w:r w:rsidR="00EB6718">
        <w:t>-</w:t>
      </w:r>
      <w:r>
        <w:t xml:space="preserve">week internship with the Office. During this year’s internship, a scoping paper was prepared, and a seminar delivered to key stakeholders on environmental challenges and opportunities associated with the application of the </w:t>
      </w:r>
      <w:r w:rsidRPr="00827F5C">
        <w:rPr>
          <w:i/>
        </w:rPr>
        <w:t xml:space="preserve">National Principles for </w:t>
      </w:r>
      <w:r w:rsidR="008F50BB" w:rsidRPr="00827F5C">
        <w:rPr>
          <w:i/>
        </w:rPr>
        <w:t xml:space="preserve">Disaster </w:t>
      </w:r>
      <w:r w:rsidRPr="00827F5C">
        <w:rPr>
          <w:i/>
        </w:rPr>
        <w:t>Recovery</w:t>
      </w:r>
      <w:r>
        <w:t xml:space="preserve"> within Queensland. </w:t>
      </w:r>
    </w:p>
    <w:p w14:paraId="45C80BE2" w14:textId="4C3ED6CE" w:rsidR="00EB6718" w:rsidRDefault="00EB6718" w:rsidP="005914FB">
      <w:pPr>
        <w:ind w:left="-142"/>
      </w:pPr>
      <w:r>
        <w:t>The Office also assisted local disaster management officers to scope postgraduate study options</w:t>
      </w:r>
      <w:r w:rsidR="006D7103">
        <w:t xml:space="preserve">, </w:t>
      </w:r>
      <w:r>
        <w:t>provided research guidance to local and state agencies</w:t>
      </w:r>
      <w:r w:rsidR="006D7103">
        <w:t xml:space="preserve">, </w:t>
      </w:r>
      <w:r>
        <w:t xml:space="preserve">and maintained a register of research issues and questions. </w:t>
      </w:r>
    </w:p>
    <w:p w14:paraId="267CA483" w14:textId="77777777" w:rsidR="00B36D76" w:rsidRDefault="00B36D76" w:rsidP="006D0FF1">
      <w:pPr>
        <w:pStyle w:val="Heading3"/>
      </w:pPr>
      <w:r>
        <w:t xml:space="preserve">Stakeholder engagement </w:t>
      </w:r>
    </w:p>
    <w:p w14:paraId="16BFED0A" w14:textId="77777777" w:rsidR="00EB6718" w:rsidRDefault="00EB6718" w:rsidP="00EB6718">
      <w:pPr>
        <w:ind w:left="-142"/>
      </w:pPr>
      <w:r>
        <w:t xml:space="preserve">Significant engagement was undertaken with key stakeholders in 2017-18. </w:t>
      </w:r>
    </w:p>
    <w:p w14:paraId="5BF55BFE" w14:textId="5C9D86AC" w:rsidR="006B4EF6" w:rsidRDefault="006B4EF6" w:rsidP="00EB6718">
      <w:pPr>
        <w:ind w:left="-142"/>
        <w:rPr>
          <w:szCs w:val="22"/>
        </w:rPr>
      </w:pPr>
      <w:r>
        <w:rPr>
          <w:szCs w:val="22"/>
        </w:rPr>
        <w:t xml:space="preserve">The </w:t>
      </w:r>
      <w:r w:rsidR="008F50BB">
        <w:rPr>
          <w:szCs w:val="22"/>
        </w:rPr>
        <w:t xml:space="preserve">Inspector-General Emergency Management </w:t>
      </w:r>
      <w:r w:rsidR="00D77A7E">
        <w:rPr>
          <w:szCs w:val="22"/>
        </w:rPr>
        <w:t xml:space="preserve">(IGEM) </w:t>
      </w:r>
      <w:r w:rsidR="00B353AD">
        <w:rPr>
          <w:szCs w:val="22"/>
        </w:rPr>
        <w:t xml:space="preserve">and the Office </w:t>
      </w:r>
      <w:r w:rsidR="00EB6718" w:rsidRPr="00EB6718">
        <w:rPr>
          <w:szCs w:val="22"/>
        </w:rPr>
        <w:t xml:space="preserve">continued to provide strategic input into State arrangements </w:t>
      </w:r>
      <w:r>
        <w:rPr>
          <w:szCs w:val="22"/>
        </w:rPr>
        <w:t xml:space="preserve">through </w:t>
      </w:r>
      <w:r w:rsidR="00EB6718" w:rsidRPr="00EB6718">
        <w:rPr>
          <w:szCs w:val="22"/>
        </w:rPr>
        <w:t xml:space="preserve">the </w:t>
      </w:r>
      <w:r w:rsidRPr="00EB6718">
        <w:rPr>
          <w:szCs w:val="22"/>
        </w:rPr>
        <w:t>Q</w:t>
      </w:r>
      <w:r>
        <w:rPr>
          <w:szCs w:val="22"/>
        </w:rPr>
        <w:t xml:space="preserve">ueensland </w:t>
      </w:r>
      <w:r w:rsidRPr="00EB6718">
        <w:rPr>
          <w:szCs w:val="22"/>
        </w:rPr>
        <w:t>D</w:t>
      </w:r>
      <w:r>
        <w:rPr>
          <w:szCs w:val="22"/>
        </w:rPr>
        <w:t xml:space="preserve">isaster </w:t>
      </w:r>
      <w:r w:rsidRPr="00EB6718">
        <w:rPr>
          <w:szCs w:val="22"/>
        </w:rPr>
        <w:t>M</w:t>
      </w:r>
      <w:r>
        <w:rPr>
          <w:szCs w:val="22"/>
        </w:rPr>
        <w:t xml:space="preserve">anagement </w:t>
      </w:r>
      <w:r w:rsidRPr="00EB6718">
        <w:rPr>
          <w:szCs w:val="22"/>
        </w:rPr>
        <w:t>C</w:t>
      </w:r>
      <w:r>
        <w:rPr>
          <w:szCs w:val="22"/>
        </w:rPr>
        <w:t>ommittee</w:t>
      </w:r>
      <w:r w:rsidR="00EF1E1B">
        <w:rPr>
          <w:szCs w:val="22"/>
        </w:rPr>
        <w:t xml:space="preserve"> (QDMC)</w:t>
      </w:r>
      <w:r>
        <w:rPr>
          <w:szCs w:val="22"/>
        </w:rPr>
        <w:t>,</w:t>
      </w:r>
      <w:r w:rsidRPr="00EB6718">
        <w:rPr>
          <w:szCs w:val="22"/>
        </w:rPr>
        <w:t xml:space="preserve"> </w:t>
      </w:r>
      <w:r w:rsidR="00EB6718" w:rsidRPr="00EB6718">
        <w:rPr>
          <w:szCs w:val="22"/>
        </w:rPr>
        <w:t>S</w:t>
      </w:r>
      <w:r>
        <w:rPr>
          <w:szCs w:val="22"/>
        </w:rPr>
        <w:t xml:space="preserve">tate </w:t>
      </w:r>
      <w:r w:rsidR="00EB6718" w:rsidRPr="00EB6718">
        <w:rPr>
          <w:szCs w:val="22"/>
        </w:rPr>
        <w:t>D</w:t>
      </w:r>
      <w:r>
        <w:rPr>
          <w:szCs w:val="22"/>
        </w:rPr>
        <w:t xml:space="preserve">isaster </w:t>
      </w:r>
      <w:r w:rsidR="00EB6718" w:rsidRPr="00EB6718">
        <w:rPr>
          <w:szCs w:val="22"/>
        </w:rPr>
        <w:t>C</w:t>
      </w:r>
      <w:r>
        <w:rPr>
          <w:szCs w:val="22"/>
        </w:rPr>
        <w:t xml:space="preserve">oordination </w:t>
      </w:r>
      <w:r w:rsidR="00EB6718" w:rsidRPr="00EB6718">
        <w:rPr>
          <w:szCs w:val="22"/>
        </w:rPr>
        <w:t>G</w:t>
      </w:r>
      <w:r>
        <w:rPr>
          <w:szCs w:val="22"/>
        </w:rPr>
        <w:t>roup</w:t>
      </w:r>
      <w:r w:rsidR="00355020">
        <w:rPr>
          <w:szCs w:val="22"/>
        </w:rPr>
        <w:t xml:space="preserve"> (SDCG)</w:t>
      </w:r>
      <w:r w:rsidR="00EB6718" w:rsidRPr="00EB6718">
        <w:rPr>
          <w:szCs w:val="22"/>
        </w:rPr>
        <w:t xml:space="preserve">, </w:t>
      </w:r>
      <w:r>
        <w:rPr>
          <w:szCs w:val="22"/>
        </w:rPr>
        <w:t xml:space="preserve">and </w:t>
      </w:r>
      <w:r w:rsidR="00EB6718" w:rsidRPr="00EB6718">
        <w:rPr>
          <w:szCs w:val="22"/>
        </w:rPr>
        <w:t>D</w:t>
      </w:r>
      <w:r>
        <w:rPr>
          <w:szCs w:val="22"/>
        </w:rPr>
        <w:t>isaster Management Interdepartmental Committee</w:t>
      </w:r>
      <w:r w:rsidR="008A6B5E">
        <w:rPr>
          <w:szCs w:val="22"/>
        </w:rPr>
        <w:t>.</w:t>
      </w:r>
      <w:r w:rsidR="00EB6718" w:rsidRPr="00EB6718">
        <w:rPr>
          <w:szCs w:val="22"/>
        </w:rPr>
        <w:t xml:space="preserve"> </w:t>
      </w:r>
    </w:p>
    <w:p w14:paraId="6ED7046D" w14:textId="77777777" w:rsidR="00B353AD" w:rsidRDefault="00EB6718" w:rsidP="00EB6718">
      <w:pPr>
        <w:ind w:left="-142"/>
        <w:rPr>
          <w:szCs w:val="22"/>
        </w:rPr>
      </w:pPr>
      <w:r w:rsidRPr="00EB6718">
        <w:rPr>
          <w:szCs w:val="22"/>
        </w:rPr>
        <w:t xml:space="preserve">Consultation </w:t>
      </w:r>
      <w:r w:rsidR="006B4EF6">
        <w:rPr>
          <w:szCs w:val="22"/>
        </w:rPr>
        <w:t>was u</w:t>
      </w:r>
      <w:r w:rsidRPr="00EB6718">
        <w:rPr>
          <w:szCs w:val="22"/>
        </w:rPr>
        <w:t xml:space="preserve">ndertaken with Chief Executive Officers to seek their input into key assurance activities such as reviews conducted during the 2017-18 financial year, and to inform the Office’s forward program of work in 2018-19. </w:t>
      </w:r>
    </w:p>
    <w:p w14:paraId="49D1ABAE" w14:textId="7E91C361" w:rsidR="00B353AD" w:rsidRPr="00355020" w:rsidRDefault="00EB6718" w:rsidP="00355020">
      <w:pPr>
        <w:ind w:left="-142"/>
        <w:rPr>
          <w:szCs w:val="22"/>
        </w:rPr>
      </w:pPr>
      <w:r w:rsidRPr="00355020">
        <w:rPr>
          <w:szCs w:val="22"/>
        </w:rPr>
        <w:t xml:space="preserve">Regular engagement occurred over the course of the year with key </w:t>
      </w:r>
      <w:r w:rsidR="00B353AD" w:rsidRPr="00355020">
        <w:rPr>
          <w:szCs w:val="22"/>
        </w:rPr>
        <w:t xml:space="preserve">executives </w:t>
      </w:r>
      <w:r w:rsidRPr="00355020">
        <w:rPr>
          <w:szCs w:val="22"/>
        </w:rPr>
        <w:t xml:space="preserve">and stakeholders in the emergency management sector </w:t>
      </w:r>
      <w:r w:rsidR="00B353AD" w:rsidRPr="00355020">
        <w:rPr>
          <w:szCs w:val="22"/>
        </w:rPr>
        <w:t xml:space="preserve">including </w:t>
      </w:r>
      <w:r w:rsidR="00EF1E1B">
        <w:rPr>
          <w:szCs w:val="22"/>
        </w:rPr>
        <w:t>QFES</w:t>
      </w:r>
      <w:r w:rsidR="00D77A7E">
        <w:rPr>
          <w:szCs w:val="22"/>
        </w:rPr>
        <w:t>,</w:t>
      </w:r>
      <w:r w:rsidR="00355020" w:rsidRPr="00355020">
        <w:rPr>
          <w:szCs w:val="22"/>
        </w:rPr>
        <w:t xml:space="preserve"> </w:t>
      </w:r>
      <w:r w:rsidR="00EF1E1B">
        <w:rPr>
          <w:szCs w:val="22"/>
        </w:rPr>
        <w:t>QPS</w:t>
      </w:r>
      <w:r w:rsidR="00D77A7E">
        <w:rPr>
          <w:szCs w:val="22"/>
        </w:rPr>
        <w:t>,</w:t>
      </w:r>
      <w:r w:rsidRPr="00355020">
        <w:rPr>
          <w:szCs w:val="22"/>
        </w:rPr>
        <w:t xml:space="preserve"> </w:t>
      </w:r>
      <w:r w:rsidR="00EF1E1B">
        <w:rPr>
          <w:szCs w:val="22"/>
        </w:rPr>
        <w:t>QRA</w:t>
      </w:r>
      <w:r w:rsidR="00D77A7E">
        <w:rPr>
          <w:szCs w:val="22"/>
        </w:rPr>
        <w:t>,</w:t>
      </w:r>
      <w:r w:rsidRPr="00355020">
        <w:rPr>
          <w:szCs w:val="22"/>
        </w:rPr>
        <w:t xml:space="preserve"> </w:t>
      </w:r>
      <w:r w:rsidR="00EF1E1B">
        <w:rPr>
          <w:szCs w:val="22"/>
        </w:rPr>
        <w:t>DPC</w:t>
      </w:r>
      <w:r w:rsidR="00D77A7E">
        <w:rPr>
          <w:szCs w:val="22"/>
        </w:rPr>
        <w:t>,</w:t>
      </w:r>
      <w:r w:rsidR="00D0200F">
        <w:rPr>
          <w:szCs w:val="22"/>
        </w:rPr>
        <w:t xml:space="preserve"> </w:t>
      </w:r>
      <w:r w:rsidR="00EF1E1B">
        <w:rPr>
          <w:szCs w:val="22"/>
        </w:rPr>
        <w:t>DHPW</w:t>
      </w:r>
      <w:r w:rsidR="00D77A7E">
        <w:rPr>
          <w:szCs w:val="22"/>
        </w:rPr>
        <w:t>,</w:t>
      </w:r>
      <w:r w:rsidRPr="00355020">
        <w:rPr>
          <w:szCs w:val="22"/>
        </w:rPr>
        <w:t xml:space="preserve"> </w:t>
      </w:r>
      <w:r w:rsidR="00EF1E1B">
        <w:rPr>
          <w:szCs w:val="22"/>
        </w:rPr>
        <w:t>DTMR</w:t>
      </w:r>
      <w:r w:rsidR="00D77A7E">
        <w:rPr>
          <w:szCs w:val="22"/>
        </w:rPr>
        <w:t>,</w:t>
      </w:r>
      <w:r w:rsidR="00EF1E1B">
        <w:rPr>
          <w:szCs w:val="22"/>
        </w:rPr>
        <w:t xml:space="preserve"> Q</w:t>
      </w:r>
      <w:r w:rsidRPr="00355020">
        <w:rPr>
          <w:szCs w:val="22"/>
        </w:rPr>
        <w:t>H</w:t>
      </w:r>
      <w:r w:rsidR="00D77A7E">
        <w:rPr>
          <w:szCs w:val="22"/>
        </w:rPr>
        <w:t>,</w:t>
      </w:r>
      <w:r w:rsidRPr="00355020">
        <w:rPr>
          <w:szCs w:val="22"/>
        </w:rPr>
        <w:t xml:space="preserve"> D</w:t>
      </w:r>
      <w:r w:rsidR="00EF1E1B">
        <w:rPr>
          <w:szCs w:val="22"/>
        </w:rPr>
        <w:t>CDSS</w:t>
      </w:r>
      <w:r w:rsidR="00D77A7E">
        <w:rPr>
          <w:szCs w:val="22"/>
        </w:rPr>
        <w:t>,</w:t>
      </w:r>
      <w:r w:rsidRPr="00355020">
        <w:rPr>
          <w:szCs w:val="22"/>
        </w:rPr>
        <w:t xml:space="preserve"> </w:t>
      </w:r>
      <w:r w:rsidR="00EF1E1B">
        <w:rPr>
          <w:szCs w:val="22"/>
        </w:rPr>
        <w:t>DATSIP</w:t>
      </w:r>
      <w:r w:rsidR="00D77A7E">
        <w:rPr>
          <w:szCs w:val="22"/>
        </w:rPr>
        <w:t>,</w:t>
      </w:r>
      <w:r w:rsidR="00EF1E1B">
        <w:rPr>
          <w:szCs w:val="22"/>
        </w:rPr>
        <w:t xml:space="preserve"> </w:t>
      </w:r>
      <w:r w:rsidRPr="00355020">
        <w:rPr>
          <w:szCs w:val="22"/>
        </w:rPr>
        <w:t xml:space="preserve">and </w:t>
      </w:r>
      <w:r w:rsidR="00EF1E1B">
        <w:rPr>
          <w:szCs w:val="22"/>
        </w:rPr>
        <w:t>PSBA</w:t>
      </w:r>
      <w:r w:rsidRPr="00355020">
        <w:rPr>
          <w:szCs w:val="22"/>
        </w:rPr>
        <w:t xml:space="preserve">. </w:t>
      </w:r>
    </w:p>
    <w:p w14:paraId="0BB40336" w14:textId="77777777" w:rsidR="00EB6718" w:rsidRDefault="00EB6718" w:rsidP="00355020">
      <w:pPr>
        <w:ind w:left="-142"/>
        <w:rPr>
          <w:szCs w:val="22"/>
        </w:rPr>
      </w:pPr>
      <w:r w:rsidRPr="00355020">
        <w:rPr>
          <w:szCs w:val="22"/>
        </w:rPr>
        <w:t xml:space="preserve">The Office attended a </w:t>
      </w:r>
      <w:r w:rsidR="00CB657E">
        <w:rPr>
          <w:szCs w:val="22"/>
        </w:rPr>
        <w:t>number</w:t>
      </w:r>
      <w:r w:rsidR="00CB657E" w:rsidRPr="00355020">
        <w:rPr>
          <w:szCs w:val="22"/>
        </w:rPr>
        <w:t xml:space="preserve"> </w:t>
      </w:r>
      <w:r w:rsidRPr="00355020">
        <w:rPr>
          <w:szCs w:val="22"/>
        </w:rPr>
        <w:t>of exercises</w:t>
      </w:r>
      <w:r w:rsidR="00087F62">
        <w:rPr>
          <w:szCs w:val="22"/>
        </w:rPr>
        <w:t>,</w:t>
      </w:r>
      <w:r w:rsidRPr="00355020">
        <w:rPr>
          <w:szCs w:val="22"/>
        </w:rPr>
        <w:t xml:space="preserve"> </w:t>
      </w:r>
      <w:r w:rsidR="00355020" w:rsidRPr="00355020">
        <w:rPr>
          <w:szCs w:val="22"/>
        </w:rPr>
        <w:t xml:space="preserve">in </w:t>
      </w:r>
      <w:r w:rsidRPr="00355020">
        <w:rPr>
          <w:szCs w:val="22"/>
        </w:rPr>
        <w:t>Noosa</w:t>
      </w:r>
      <w:r w:rsidR="00355020" w:rsidRPr="00355020">
        <w:rPr>
          <w:szCs w:val="22"/>
        </w:rPr>
        <w:t>, Gympie, Richmond, Hughenden, Redlands and Palm Island.</w:t>
      </w:r>
    </w:p>
    <w:p w14:paraId="13EBEFA8" w14:textId="77777777" w:rsidR="001E2110" w:rsidRDefault="00355020" w:rsidP="00355020">
      <w:pPr>
        <w:ind w:left="-142"/>
        <w:rPr>
          <w:szCs w:val="22"/>
        </w:rPr>
      </w:pPr>
      <w:r>
        <w:rPr>
          <w:szCs w:val="22"/>
        </w:rPr>
        <w:t>Thought leadership and information sharing</w:t>
      </w:r>
      <w:r w:rsidR="009E4622">
        <w:rPr>
          <w:szCs w:val="22"/>
        </w:rPr>
        <w:t xml:space="preserve"> was delivered</w:t>
      </w:r>
      <w:r w:rsidRPr="00355020">
        <w:rPr>
          <w:szCs w:val="22"/>
        </w:rPr>
        <w:t xml:space="preserve"> through</w:t>
      </w:r>
      <w:r w:rsidR="001E2110">
        <w:rPr>
          <w:szCs w:val="22"/>
        </w:rPr>
        <w:t>:</w:t>
      </w:r>
    </w:p>
    <w:p w14:paraId="5D55CCFB" w14:textId="3E8FEE9C" w:rsidR="001E2110" w:rsidRPr="001E2110" w:rsidRDefault="001E2110" w:rsidP="0017125F">
      <w:pPr>
        <w:pStyle w:val="ListParagraph"/>
        <w:numPr>
          <w:ilvl w:val="0"/>
          <w:numId w:val="16"/>
        </w:numPr>
        <w:ind w:hanging="502"/>
        <w:contextualSpacing w:val="0"/>
        <w:rPr>
          <w:szCs w:val="22"/>
        </w:rPr>
      </w:pPr>
      <w:r w:rsidRPr="001E2110">
        <w:rPr>
          <w:szCs w:val="22"/>
        </w:rPr>
        <w:t>presentations and attendance at key Queensland conferences</w:t>
      </w:r>
      <w:r w:rsidR="00CB657E">
        <w:rPr>
          <w:szCs w:val="22"/>
        </w:rPr>
        <w:t>,</w:t>
      </w:r>
      <w:r w:rsidRPr="001E2110">
        <w:rPr>
          <w:szCs w:val="22"/>
        </w:rPr>
        <w:t xml:space="preserve"> symposiums and workshops including A</w:t>
      </w:r>
      <w:r>
        <w:rPr>
          <w:szCs w:val="22"/>
        </w:rPr>
        <w:t xml:space="preserve">ustralasian Fire and Emergency Services Authorities Council (AFAC) </w:t>
      </w:r>
      <w:r w:rsidRPr="001E2110">
        <w:rPr>
          <w:szCs w:val="22"/>
        </w:rPr>
        <w:t>Conference</w:t>
      </w:r>
      <w:r>
        <w:rPr>
          <w:szCs w:val="22"/>
        </w:rPr>
        <w:t xml:space="preserve">; </w:t>
      </w:r>
      <w:r w:rsidRPr="001E2110">
        <w:rPr>
          <w:szCs w:val="22"/>
        </w:rPr>
        <w:t>B</w:t>
      </w:r>
      <w:r>
        <w:rPr>
          <w:szCs w:val="22"/>
        </w:rPr>
        <w:t>ushfire and Natural Hazards Cooperative Research Centre (B</w:t>
      </w:r>
      <w:r w:rsidRPr="001E2110">
        <w:rPr>
          <w:szCs w:val="22"/>
        </w:rPr>
        <w:t>NHCRC</w:t>
      </w:r>
      <w:r>
        <w:rPr>
          <w:szCs w:val="22"/>
        </w:rPr>
        <w:t>)</w:t>
      </w:r>
      <w:r w:rsidRPr="001E2110">
        <w:rPr>
          <w:szCs w:val="22"/>
        </w:rPr>
        <w:t xml:space="preserve"> Research Forum; Australian Strategic Policy Institute; </w:t>
      </w:r>
      <w:r w:rsidRPr="00FA1A17">
        <w:rPr>
          <w:szCs w:val="22"/>
        </w:rPr>
        <w:t>C</w:t>
      </w:r>
      <w:r w:rsidR="00FA1A17" w:rsidRPr="00FA1A17">
        <w:rPr>
          <w:szCs w:val="22"/>
        </w:rPr>
        <w:t xml:space="preserve">ouncil on the Ageing (COTA) </w:t>
      </w:r>
      <w:r w:rsidRPr="00FA1A17">
        <w:rPr>
          <w:szCs w:val="22"/>
        </w:rPr>
        <w:t>State Disaster</w:t>
      </w:r>
      <w:r w:rsidRPr="001E2110">
        <w:rPr>
          <w:szCs w:val="22"/>
        </w:rPr>
        <w:t xml:space="preserve"> Preparedness for Older People; </w:t>
      </w:r>
      <w:r>
        <w:rPr>
          <w:szCs w:val="22"/>
        </w:rPr>
        <w:t xml:space="preserve">and </w:t>
      </w:r>
      <w:r w:rsidRPr="001E2110">
        <w:rPr>
          <w:szCs w:val="22"/>
        </w:rPr>
        <w:t xml:space="preserve">Volunteering Queensland workshops </w:t>
      </w:r>
      <w:r w:rsidR="00134EC6">
        <w:rPr>
          <w:szCs w:val="22"/>
        </w:rPr>
        <w:t xml:space="preserve">with local government </w:t>
      </w:r>
      <w:r>
        <w:rPr>
          <w:szCs w:val="22"/>
        </w:rPr>
        <w:t xml:space="preserve">to engage aged care providers </w:t>
      </w:r>
    </w:p>
    <w:p w14:paraId="3FA5A7EE" w14:textId="39016443" w:rsidR="001E2110" w:rsidRPr="001E2110" w:rsidRDefault="001E2110" w:rsidP="0017125F">
      <w:pPr>
        <w:pStyle w:val="ListParagraph"/>
        <w:numPr>
          <w:ilvl w:val="0"/>
          <w:numId w:val="16"/>
        </w:numPr>
        <w:ind w:hanging="502"/>
        <w:contextualSpacing w:val="0"/>
      </w:pPr>
      <w:r w:rsidRPr="00355020">
        <w:rPr>
          <w:szCs w:val="22"/>
        </w:rPr>
        <w:t xml:space="preserve">active participation in committees and working groups such as the Brisbane River Strategic Floodplain Management Plan Working Group; Flood Warning Consultative Committee; Ready and Resilient Working Group; Queensland Tropical Cyclone Consultative Committee; Queensland Heatwave Risk Assessment Interdepartmental Project; </w:t>
      </w:r>
      <w:r w:rsidR="00A53AB7">
        <w:rPr>
          <w:szCs w:val="22"/>
        </w:rPr>
        <w:t xml:space="preserve">Disaster Management Sector Adaptation Plan Advisory Group; </w:t>
      </w:r>
      <w:r w:rsidRPr="00355020">
        <w:rPr>
          <w:szCs w:val="22"/>
        </w:rPr>
        <w:t xml:space="preserve">Open Data Senior Officers Working Group; and Innovation Champions </w:t>
      </w:r>
      <w:r w:rsidR="00D77A7E">
        <w:rPr>
          <w:szCs w:val="22"/>
        </w:rPr>
        <w:t>N</w:t>
      </w:r>
      <w:r w:rsidRPr="00355020">
        <w:rPr>
          <w:szCs w:val="22"/>
        </w:rPr>
        <w:t>etw</w:t>
      </w:r>
      <w:r>
        <w:rPr>
          <w:szCs w:val="22"/>
        </w:rPr>
        <w:t>ork.</w:t>
      </w:r>
    </w:p>
    <w:p w14:paraId="51281AC5" w14:textId="77777777" w:rsidR="000D184D" w:rsidRDefault="00050E13" w:rsidP="00355020">
      <w:pPr>
        <w:ind w:left="-142"/>
        <w:rPr>
          <w:szCs w:val="22"/>
        </w:rPr>
      </w:pPr>
      <w:r>
        <w:rPr>
          <w:szCs w:val="22"/>
        </w:rPr>
        <w:lastRenderedPageBreak/>
        <w:t>C</w:t>
      </w:r>
      <w:r w:rsidR="00355020" w:rsidRPr="00355020">
        <w:rPr>
          <w:szCs w:val="22"/>
        </w:rPr>
        <w:t>ontribution</w:t>
      </w:r>
      <w:r>
        <w:rPr>
          <w:szCs w:val="22"/>
        </w:rPr>
        <w:t xml:space="preserve">s were </w:t>
      </w:r>
      <w:r w:rsidR="00355020" w:rsidRPr="00355020">
        <w:rPr>
          <w:szCs w:val="22"/>
        </w:rPr>
        <w:t>mad</w:t>
      </w:r>
      <w:r w:rsidR="000D184D">
        <w:rPr>
          <w:szCs w:val="22"/>
        </w:rPr>
        <w:t>e to the national agenda through:</w:t>
      </w:r>
    </w:p>
    <w:p w14:paraId="0A97D215" w14:textId="6F850A2C" w:rsidR="000D184D" w:rsidRPr="000D184D" w:rsidRDefault="000D184D" w:rsidP="0017125F">
      <w:pPr>
        <w:pStyle w:val="ListParagraph"/>
        <w:numPr>
          <w:ilvl w:val="0"/>
          <w:numId w:val="16"/>
        </w:numPr>
        <w:ind w:hanging="502"/>
        <w:contextualSpacing w:val="0"/>
      </w:pPr>
      <w:r w:rsidRPr="00355020">
        <w:rPr>
          <w:szCs w:val="22"/>
        </w:rPr>
        <w:t xml:space="preserve">co-hosting a </w:t>
      </w:r>
      <w:r>
        <w:rPr>
          <w:szCs w:val="22"/>
        </w:rPr>
        <w:t>two</w:t>
      </w:r>
      <w:r w:rsidR="009E4622">
        <w:rPr>
          <w:szCs w:val="22"/>
        </w:rPr>
        <w:t>-</w:t>
      </w:r>
      <w:r w:rsidRPr="00355020">
        <w:rPr>
          <w:szCs w:val="22"/>
        </w:rPr>
        <w:t>day Australia/New Zealand I</w:t>
      </w:r>
      <w:r>
        <w:rPr>
          <w:szCs w:val="22"/>
        </w:rPr>
        <w:t xml:space="preserve">nspector-General Emergency Management </w:t>
      </w:r>
      <w:r w:rsidRPr="00355020">
        <w:rPr>
          <w:szCs w:val="22"/>
        </w:rPr>
        <w:t>Collaborative with Victoria IGEM in March 2018</w:t>
      </w:r>
    </w:p>
    <w:p w14:paraId="7D633349" w14:textId="77777777" w:rsidR="000D184D" w:rsidRPr="000D184D" w:rsidRDefault="000D184D" w:rsidP="0017125F">
      <w:pPr>
        <w:pStyle w:val="ListParagraph"/>
        <w:numPr>
          <w:ilvl w:val="0"/>
          <w:numId w:val="16"/>
        </w:numPr>
        <w:ind w:hanging="502"/>
        <w:contextualSpacing w:val="0"/>
      </w:pPr>
      <w:r w:rsidRPr="00355020">
        <w:rPr>
          <w:szCs w:val="22"/>
        </w:rPr>
        <w:t>contribution to the Australian Vulnerability Project and National Warnings Framework Working Group</w:t>
      </w:r>
    </w:p>
    <w:p w14:paraId="61B3788B" w14:textId="77777777" w:rsidR="000D184D" w:rsidRPr="00CB19DF" w:rsidRDefault="001E2110" w:rsidP="0017125F">
      <w:pPr>
        <w:pStyle w:val="ListParagraph"/>
        <w:numPr>
          <w:ilvl w:val="0"/>
          <w:numId w:val="16"/>
        </w:numPr>
        <w:ind w:hanging="502"/>
        <w:contextualSpacing w:val="0"/>
      </w:pPr>
      <w:r>
        <w:rPr>
          <w:szCs w:val="22"/>
        </w:rPr>
        <w:t xml:space="preserve">journal </w:t>
      </w:r>
      <w:r w:rsidR="000D184D" w:rsidRPr="006166C7">
        <w:rPr>
          <w:szCs w:val="22"/>
        </w:rPr>
        <w:t>publications on issues such as best practice emergency supply (</w:t>
      </w:r>
      <w:r w:rsidR="000D184D" w:rsidRPr="00827F5C">
        <w:rPr>
          <w:i/>
          <w:szCs w:val="22"/>
        </w:rPr>
        <w:t>Journal of Humanitarian Logistics and Supply Chain Management</w:t>
      </w:r>
      <w:r w:rsidR="000D184D" w:rsidRPr="006166C7">
        <w:rPr>
          <w:szCs w:val="22"/>
        </w:rPr>
        <w:t>, March 2018) and lessons management (</w:t>
      </w:r>
      <w:r w:rsidR="000D184D" w:rsidRPr="00827F5C">
        <w:rPr>
          <w:i/>
          <w:szCs w:val="22"/>
        </w:rPr>
        <w:t>Australian Journal of Emergency Management</w:t>
      </w:r>
      <w:r w:rsidR="000D184D" w:rsidRPr="006166C7">
        <w:rPr>
          <w:szCs w:val="22"/>
        </w:rPr>
        <w:t>, April 2018) and presentations at interstate conferences</w:t>
      </w:r>
    </w:p>
    <w:p w14:paraId="3D24649B" w14:textId="77777777" w:rsidR="00CB19DF" w:rsidRDefault="00CB19DF" w:rsidP="0017125F">
      <w:pPr>
        <w:pStyle w:val="ListParagraph"/>
        <w:numPr>
          <w:ilvl w:val="0"/>
          <w:numId w:val="16"/>
        </w:numPr>
        <w:ind w:hanging="502"/>
        <w:contextualSpacing w:val="0"/>
      </w:pPr>
      <w:r>
        <w:t xml:space="preserve">steering and working group involvement with the Australian Institute of Disaster Resilience regarding the review of the </w:t>
      </w:r>
      <w:r w:rsidRPr="00827F5C">
        <w:rPr>
          <w:i/>
        </w:rPr>
        <w:t>Emergenc</w:t>
      </w:r>
      <w:r w:rsidR="00A53AB7" w:rsidRPr="00827F5C">
        <w:rPr>
          <w:i/>
        </w:rPr>
        <w:t>y Management Australia Glossary</w:t>
      </w:r>
    </w:p>
    <w:p w14:paraId="38346EAB" w14:textId="77777777" w:rsidR="00B17D75" w:rsidRPr="000D184D" w:rsidRDefault="00B17D75" w:rsidP="0017125F">
      <w:pPr>
        <w:pStyle w:val="ListParagraph"/>
        <w:numPr>
          <w:ilvl w:val="0"/>
          <w:numId w:val="16"/>
        </w:numPr>
        <w:ind w:hanging="502"/>
        <w:contextualSpacing w:val="0"/>
      </w:pPr>
      <w:r>
        <w:t>AFAC sponsored Lessons Management forum in October 2017</w:t>
      </w:r>
      <w:r w:rsidR="00A53AB7">
        <w:t>.</w:t>
      </w:r>
    </w:p>
    <w:p w14:paraId="4E86603A" w14:textId="77777777" w:rsidR="000D184D" w:rsidRPr="000D184D" w:rsidRDefault="006166C7" w:rsidP="007846D5">
      <w:pPr>
        <w:pStyle w:val="BodyText"/>
        <w:widowControl w:val="0"/>
        <w:ind w:left="-142"/>
        <w:rPr>
          <w:szCs w:val="22"/>
        </w:rPr>
      </w:pPr>
      <w:r>
        <w:rPr>
          <w:szCs w:val="22"/>
        </w:rPr>
        <w:t>Key information and o</w:t>
      </w:r>
      <w:r w:rsidR="000D184D" w:rsidRPr="000D184D">
        <w:rPr>
          <w:szCs w:val="22"/>
        </w:rPr>
        <w:t xml:space="preserve">utcomes of assurance activities </w:t>
      </w:r>
      <w:r>
        <w:rPr>
          <w:szCs w:val="22"/>
        </w:rPr>
        <w:t xml:space="preserve">were </w:t>
      </w:r>
      <w:r w:rsidR="000D184D" w:rsidRPr="000D184D">
        <w:rPr>
          <w:szCs w:val="22"/>
        </w:rPr>
        <w:t xml:space="preserve">communicated to the emergency management sector and </w:t>
      </w:r>
      <w:r>
        <w:rPr>
          <w:szCs w:val="22"/>
        </w:rPr>
        <w:t>the community</w:t>
      </w:r>
      <w:r w:rsidR="000D184D" w:rsidRPr="000D184D">
        <w:rPr>
          <w:szCs w:val="22"/>
        </w:rPr>
        <w:t xml:space="preserve"> </w:t>
      </w:r>
      <w:r>
        <w:rPr>
          <w:szCs w:val="22"/>
        </w:rPr>
        <w:t xml:space="preserve">through </w:t>
      </w:r>
      <w:r w:rsidR="000D184D" w:rsidRPr="000D184D">
        <w:rPr>
          <w:szCs w:val="22"/>
        </w:rPr>
        <w:t xml:space="preserve">tabling of review reports in Parliament </w:t>
      </w:r>
      <w:r w:rsidR="000D184D" w:rsidRPr="009B6712">
        <w:rPr>
          <w:szCs w:val="22"/>
        </w:rPr>
        <w:t>(</w:t>
      </w:r>
      <w:r w:rsidRPr="009B6712">
        <w:rPr>
          <w:szCs w:val="22"/>
        </w:rPr>
        <w:t>refer pages</w:t>
      </w:r>
      <w:r w:rsidR="009B6712" w:rsidRPr="009B6712">
        <w:rPr>
          <w:szCs w:val="22"/>
        </w:rPr>
        <w:t xml:space="preserve"> </w:t>
      </w:r>
      <w:r w:rsidR="009B6712" w:rsidRPr="00827F5C">
        <w:rPr>
          <w:szCs w:val="22"/>
        </w:rPr>
        <w:t>14 to 16</w:t>
      </w:r>
      <w:r w:rsidRPr="00827F5C">
        <w:rPr>
          <w:szCs w:val="22"/>
        </w:rPr>
        <w:t>)</w:t>
      </w:r>
      <w:r w:rsidRPr="00DC355B">
        <w:rPr>
          <w:szCs w:val="22"/>
        </w:rPr>
        <w:t>;</w:t>
      </w:r>
      <w:r>
        <w:rPr>
          <w:szCs w:val="22"/>
        </w:rPr>
        <w:t xml:space="preserve"> i</w:t>
      </w:r>
      <w:r w:rsidR="000D184D" w:rsidRPr="000D184D">
        <w:rPr>
          <w:szCs w:val="22"/>
        </w:rPr>
        <w:t xml:space="preserve">ssuing </w:t>
      </w:r>
      <w:r w:rsidR="000D184D" w:rsidRPr="006166C7">
        <w:rPr>
          <w:szCs w:val="22"/>
        </w:rPr>
        <w:t>four editions</w:t>
      </w:r>
      <w:r w:rsidR="000D184D" w:rsidRPr="000D184D">
        <w:rPr>
          <w:szCs w:val="22"/>
        </w:rPr>
        <w:t xml:space="preserve"> of </w:t>
      </w:r>
      <w:r>
        <w:rPr>
          <w:szCs w:val="22"/>
        </w:rPr>
        <w:t xml:space="preserve">the Office’s online newsletter </w:t>
      </w:r>
      <w:r w:rsidR="000D184D" w:rsidRPr="00827F5C">
        <w:rPr>
          <w:i/>
          <w:szCs w:val="22"/>
        </w:rPr>
        <w:t>IGEM Connect</w:t>
      </w:r>
      <w:r>
        <w:rPr>
          <w:szCs w:val="22"/>
        </w:rPr>
        <w:t xml:space="preserve"> (available at </w:t>
      </w:r>
      <w:hyperlink r:id="rId51" w:history="1">
        <w:r w:rsidR="00776CC7" w:rsidRPr="00F60F03">
          <w:rPr>
            <w:rStyle w:val="Hyperlink"/>
            <w:szCs w:val="22"/>
          </w:rPr>
          <w:t>www.igem.qld.gov.au</w:t>
        </w:r>
      </w:hyperlink>
      <w:r w:rsidR="009A1A19">
        <w:rPr>
          <w:szCs w:val="22"/>
        </w:rPr>
        <w:t xml:space="preserve">); </w:t>
      </w:r>
      <w:r w:rsidR="000D184D" w:rsidRPr="000D184D">
        <w:rPr>
          <w:szCs w:val="22"/>
        </w:rPr>
        <w:t xml:space="preserve">and </w:t>
      </w:r>
      <w:r w:rsidR="00F034E4">
        <w:rPr>
          <w:szCs w:val="22"/>
        </w:rPr>
        <w:t xml:space="preserve">providing </w:t>
      </w:r>
      <w:r>
        <w:rPr>
          <w:szCs w:val="22"/>
        </w:rPr>
        <w:t xml:space="preserve">updates on </w:t>
      </w:r>
      <w:r w:rsidR="000D184D" w:rsidRPr="000D184D">
        <w:rPr>
          <w:szCs w:val="22"/>
        </w:rPr>
        <w:t xml:space="preserve">the </w:t>
      </w:r>
      <w:r>
        <w:rPr>
          <w:szCs w:val="22"/>
        </w:rPr>
        <w:t>Office’s w</w:t>
      </w:r>
      <w:r w:rsidR="000D184D" w:rsidRPr="000D184D">
        <w:rPr>
          <w:szCs w:val="22"/>
        </w:rPr>
        <w:t>ebsite</w:t>
      </w:r>
      <w:r>
        <w:rPr>
          <w:szCs w:val="22"/>
        </w:rPr>
        <w:t xml:space="preserve"> and social media. </w:t>
      </w:r>
    </w:p>
    <w:p w14:paraId="14265D33" w14:textId="77777777" w:rsidR="00B008E8" w:rsidRDefault="00B008E8">
      <w:pPr>
        <w:rPr>
          <w:b/>
          <w:bCs/>
          <w:sz w:val="28"/>
          <w:szCs w:val="28"/>
        </w:rPr>
      </w:pPr>
      <w:r>
        <w:rPr>
          <w:b/>
          <w:bCs/>
          <w:sz w:val="28"/>
          <w:szCs w:val="28"/>
        </w:rPr>
        <w:br w:type="page"/>
      </w:r>
    </w:p>
    <w:p w14:paraId="1ED235FC" w14:textId="77777777" w:rsidR="006F5A5A" w:rsidRPr="00F11267" w:rsidRDefault="00F359A9" w:rsidP="009D6B00">
      <w:pPr>
        <w:pStyle w:val="Heading2"/>
      </w:pPr>
      <w:bookmarkStart w:id="56" w:name="_Toc524519413"/>
      <w:bookmarkStart w:id="57" w:name="_Toc522266467"/>
      <w:r>
        <w:lastRenderedPageBreak/>
        <w:t>Obje</w:t>
      </w:r>
      <w:r w:rsidR="007846D5">
        <w:t>c</w:t>
      </w:r>
      <w:r>
        <w:t>tive three</w:t>
      </w:r>
      <w:bookmarkEnd w:id="56"/>
      <w:r>
        <w:t xml:space="preserve"> </w:t>
      </w:r>
      <w:bookmarkEnd w:id="57"/>
    </w:p>
    <w:p w14:paraId="016DD0D4" w14:textId="77777777" w:rsidR="009A6143" w:rsidRDefault="009A6143" w:rsidP="009A6143">
      <w:pPr>
        <w:pBdr>
          <w:top w:val="single" w:sz="24" w:space="8" w:color="AB054C"/>
          <w:bottom w:val="single" w:sz="24" w:space="8" w:color="AB054C"/>
        </w:pBdr>
        <w:ind w:left="851" w:right="1310"/>
        <w:jc w:val="center"/>
        <w:rPr>
          <w:rFonts w:eastAsia="Cambria"/>
          <w:i/>
        </w:rPr>
      </w:pPr>
      <w:r>
        <w:rPr>
          <w:rFonts w:eastAsia="Cambria"/>
          <w:i/>
        </w:rPr>
        <w:t xml:space="preserve">Our workforce is diverse, forward-looking, agile and engaged </w:t>
      </w:r>
    </w:p>
    <w:p w14:paraId="6CF1050B" w14:textId="77777777" w:rsidR="009A6143" w:rsidRPr="00667FC5" w:rsidRDefault="009A6143" w:rsidP="009A6143">
      <w:pPr>
        <w:pStyle w:val="BodyText"/>
        <w:ind w:right="614"/>
        <w:rPr>
          <w:color w:val="990033"/>
        </w:rPr>
      </w:pPr>
    </w:p>
    <w:p w14:paraId="755B6164" w14:textId="77777777" w:rsidR="009A6143" w:rsidRDefault="009A6143" w:rsidP="009A6143">
      <w:pPr>
        <w:pBdr>
          <w:top w:val="single" w:sz="24" w:space="8" w:color="AB054C"/>
          <w:bottom w:val="single" w:sz="24" w:space="8" w:color="AB054C"/>
        </w:pBdr>
        <w:ind w:left="851" w:right="1310"/>
        <w:jc w:val="center"/>
        <w:rPr>
          <w:b/>
          <w:iCs/>
          <w:color w:val="990033"/>
          <w:sz w:val="24"/>
          <w:szCs w:val="24"/>
        </w:rPr>
      </w:pPr>
      <w:r w:rsidRPr="009A5034">
        <w:rPr>
          <w:b/>
          <w:iCs/>
          <w:color w:val="990033"/>
          <w:sz w:val="24"/>
          <w:szCs w:val="24"/>
        </w:rPr>
        <w:t>Strategies</w:t>
      </w:r>
    </w:p>
    <w:p w14:paraId="4DB4425F" w14:textId="77777777" w:rsidR="009A6143" w:rsidRDefault="009A6143" w:rsidP="009A6143">
      <w:pPr>
        <w:pBdr>
          <w:top w:val="single" w:sz="24" w:space="8" w:color="AB054C"/>
          <w:bottom w:val="single" w:sz="24" w:space="8" w:color="AB054C"/>
        </w:pBdr>
        <w:ind w:left="851" w:right="1310"/>
        <w:jc w:val="center"/>
        <w:rPr>
          <w:rFonts w:eastAsia="Cambria"/>
        </w:rPr>
      </w:pPr>
      <w:r>
        <w:rPr>
          <w:rFonts w:eastAsia="Cambria"/>
        </w:rPr>
        <w:t xml:space="preserve">Actively champion inclusion and diversity </w:t>
      </w:r>
    </w:p>
    <w:p w14:paraId="176318E5" w14:textId="77777777" w:rsidR="009A6143" w:rsidRDefault="009A6143" w:rsidP="009A6143">
      <w:pPr>
        <w:pBdr>
          <w:top w:val="single" w:sz="24" w:space="8" w:color="AB054C"/>
          <w:bottom w:val="single" w:sz="24" w:space="8" w:color="AB054C"/>
        </w:pBdr>
        <w:ind w:left="851" w:right="1310"/>
        <w:jc w:val="center"/>
        <w:rPr>
          <w:rFonts w:eastAsia="Cambria"/>
        </w:rPr>
      </w:pPr>
      <w:r>
        <w:rPr>
          <w:rFonts w:eastAsia="Cambria"/>
        </w:rPr>
        <w:t xml:space="preserve">Foster a culture of service excellence and high-performance that models our values </w:t>
      </w:r>
    </w:p>
    <w:p w14:paraId="4FBECFA0" w14:textId="77777777" w:rsidR="009A6143" w:rsidRDefault="009A6143" w:rsidP="009A6143">
      <w:pPr>
        <w:pBdr>
          <w:top w:val="single" w:sz="24" w:space="8" w:color="AB054C"/>
          <w:bottom w:val="single" w:sz="24" w:space="8" w:color="AB054C"/>
        </w:pBdr>
        <w:ind w:left="851" w:right="1310"/>
        <w:jc w:val="center"/>
        <w:rPr>
          <w:rFonts w:eastAsia="Cambria"/>
        </w:rPr>
      </w:pPr>
      <w:r>
        <w:rPr>
          <w:rFonts w:eastAsia="Cambria"/>
        </w:rPr>
        <w:t xml:space="preserve">Strengthen our workforce capability, knowledge management, information sharing and use of common language </w:t>
      </w:r>
    </w:p>
    <w:p w14:paraId="662FFD12" w14:textId="77777777" w:rsidR="009A6143" w:rsidRDefault="009A6143" w:rsidP="009A6143">
      <w:pPr>
        <w:pBdr>
          <w:top w:val="single" w:sz="24" w:space="8" w:color="AB054C"/>
          <w:bottom w:val="single" w:sz="24" w:space="8" w:color="AB054C"/>
        </w:pBdr>
        <w:ind w:left="851" w:right="1310"/>
        <w:jc w:val="center"/>
        <w:rPr>
          <w:rFonts w:eastAsia="Cambria"/>
        </w:rPr>
      </w:pPr>
      <w:r>
        <w:rPr>
          <w:rFonts w:eastAsia="Cambria"/>
        </w:rPr>
        <w:t>Leverage opportunities to create and apply leading practice, collaborative and mutually supportive service delivery models</w:t>
      </w:r>
    </w:p>
    <w:p w14:paraId="5A0C9479" w14:textId="77777777" w:rsidR="00524D25" w:rsidRDefault="00524D25" w:rsidP="006D0FF1">
      <w:pPr>
        <w:pStyle w:val="Heading3"/>
      </w:pPr>
      <w:r>
        <w:t xml:space="preserve">Inclusion and </w:t>
      </w:r>
      <w:r w:rsidR="00C81096">
        <w:t>diversity</w:t>
      </w:r>
    </w:p>
    <w:p w14:paraId="2FA8C63E" w14:textId="77777777" w:rsidR="00FB3171" w:rsidRPr="00FB3171" w:rsidRDefault="00FB3171" w:rsidP="00FB3171">
      <w:pPr>
        <w:ind w:left="-142"/>
        <w:rPr>
          <w:szCs w:val="22"/>
        </w:rPr>
      </w:pPr>
      <w:r w:rsidRPr="00FB3171">
        <w:rPr>
          <w:szCs w:val="22"/>
        </w:rPr>
        <w:t xml:space="preserve">The Office continued to champion inclusion and diversity </w:t>
      </w:r>
      <w:r w:rsidR="00752C56">
        <w:rPr>
          <w:szCs w:val="22"/>
        </w:rPr>
        <w:t xml:space="preserve">in </w:t>
      </w:r>
      <w:r w:rsidRPr="00FB3171">
        <w:rPr>
          <w:szCs w:val="22"/>
        </w:rPr>
        <w:t>2017-18:</w:t>
      </w:r>
    </w:p>
    <w:p w14:paraId="78C9FBA8" w14:textId="77777777" w:rsidR="00FB3171" w:rsidRPr="00FB3171" w:rsidRDefault="00FB3171" w:rsidP="0017125F">
      <w:pPr>
        <w:pStyle w:val="ListParagraph"/>
        <w:numPr>
          <w:ilvl w:val="0"/>
          <w:numId w:val="16"/>
        </w:numPr>
        <w:ind w:hanging="502"/>
        <w:contextualSpacing w:val="0"/>
        <w:rPr>
          <w:szCs w:val="22"/>
        </w:rPr>
      </w:pPr>
      <w:r>
        <w:rPr>
          <w:szCs w:val="22"/>
        </w:rPr>
        <w:t>i</w:t>
      </w:r>
      <w:r w:rsidRPr="00FB3171">
        <w:rPr>
          <w:szCs w:val="22"/>
        </w:rPr>
        <w:t xml:space="preserve">n support of the release of the Office’s </w:t>
      </w:r>
      <w:r w:rsidRPr="00827F5C">
        <w:rPr>
          <w:i/>
          <w:szCs w:val="22"/>
        </w:rPr>
        <w:t>Inclusion and Diversity Plan 2017-19</w:t>
      </w:r>
      <w:r w:rsidRPr="00FB3171">
        <w:rPr>
          <w:szCs w:val="22"/>
        </w:rPr>
        <w:t xml:space="preserve"> in October 2017, key activities included promoting Diversit</w:t>
      </w:r>
      <w:r>
        <w:rPr>
          <w:szCs w:val="22"/>
        </w:rPr>
        <w:t xml:space="preserve">y Council Australia membership and </w:t>
      </w:r>
      <w:r w:rsidRPr="00FB3171">
        <w:rPr>
          <w:szCs w:val="22"/>
        </w:rPr>
        <w:t>events that celebrate cultural diversity</w:t>
      </w:r>
      <w:r>
        <w:rPr>
          <w:szCs w:val="22"/>
        </w:rPr>
        <w:t xml:space="preserve">, people with disability </w:t>
      </w:r>
      <w:r w:rsidRPr="00FB3171">
        <w:rPr>
          <w:szCs w:val="22"/>
        </w:rPr>
        <w:t xml:space="preserve">and LGBTIQ+ persons; collaborating with public safety agencies to deliver an International Women’s Day event for over 700 people; hosting the </w:t>
      </w:r>
      <w:r w:rsidR="00690AF9">
        <w:rPr>
          <w:szCs w:val="22"/>
        </w:rPr>
        <w:t xml:space="preserve">IGEM </w:t>
      </w:r>
      <w:r w:rsidRPr="00FB3171">
        <w:rPr>
          <w:szCs w:val="22"/>
        </w:rPr>
        <w:t>Champion of Change award; and attend</w:t>
      </w:r>
      <w:r>
        <w:rPr>
          <w:szCs w:val="22"/>
        </w:rPr>
        <w:t>ing</w:t>
      </w:r>
      <w:r w:rsidRPr="00FB3171">
        <w:rPr>
          <w:szCs w:val="22"/>
        </w:rPr>
        <w:t xml:space="preserve"> the national Diversity in Disaster Conference in April 2018</w:t>
      </w:r>
      <w:r w:rsidR="00903EE1">
        <w:rPr>
          <w:szCs w:val="22"/>
        </w:rPr>
        <w:t>.</w:t>
      </w:r>
    </w:p>
    <w:p w14:paraId="77C852A4" w14:textId="77777777" w:rsidR="00FB3171" w:rsidRPr="00FB3171" w:rsidRDefault="00FB3171" w:rsidP="0017125F">
      <w:pPr>
        <w:pStyle w:val="ListParagraph"/>
        <w:numPr>
          <w:ilvl w:val="0"/>
          <w:numId w:val="16"/>
        </w:numPr>
        <w:ind w:hanging="502"/>
        <w:contextualSpacing w:val="0"/>
        <w:rPr>
          <w:szCs w:val="22"/>
        </w:rPr>
      </w:pPr>
      <w:r>
        <w:rPr>
          <w:szCs w:val="22"/>
        </w:rPr>
        <w:t>d</w:t>
      </w:r>
      <w:r w:rsidRPr="00FB3171">
        <w:rPr>
          <w:szCs w:val="22"/>
        </w:rPr>
        <w:t xml:space="preserve">elivering key actions in the Office’s </w:t>
      </w:r>
      <w:r w:rsidRPr="00827F5C">
        <w:rPr>
          <w:i/>
          <w:szCs w:val="22"/>
        </w:rPr>
        <w:t>Aboriginal and Torres Strait Islander Cultural Capability Plan 2017-18</w:t>
      </w:r>
      <w:r w:rsidRPr="00FB3171">
        <w:rPr>
          <w:szCs w:val="22"/>
        </w:rPr>
        <w:t xml:space="preserve"> focused on valuing culture (recognising and commemorating significant events); building cultural capability (</w:t>
      </w:r>
      <w:r w:rsidR="00BB0270">
        <w:rPr>
          <w:szCs w:val="22"/>
        </w:rPr>
        <w:t>through c</w:t>
      </w:r>
      <w:r w:rsidRPr="00FB3171">
        <w:rPr>
          <w:szCs w:val="22"/>
        </w:rPr>
        <w:t>orporate induction); and engagement (</w:t>
      </w:r>
      <w:r w:rsidR="00752C56">
        <w:rPr>
          <w:szCs w:val="22"/>
        </w:rPr>
        <w:t xml:space="preserve">consulting </w:t>
      </w:r>
      <w:r w:rsidRPr="00FB3171">
        <w:rPr>
          <w:szCs w:val="22"/>
        </w:rPr>
        <w:t>Aboriginal and Torr</w:t>
      </w:r>
      <w:r w:rsidR="00BB0270">
        <w:rPr>
          <w:szCs w:val="22"/>
        </w:rPr>
        <w:t xml:space="preserve">es Strait Islander stakeholders </w:t>
      </w:r>
      <w:r w:rsidR="007260D6">
        <w:rPr>
          <w:szCs w:val="22"/>
        </w:rPr>
        <w:t xml:space="preserve">as part of </w:t>
      </w:r>
      <w:r w:rsidR="00BF6A83">
        <w:rPr>
          <w:szCs w:val="22"/>
        </w:rPr>
        <w:t>review</w:t>
      </w:r>
      <w:r w:rsidR="007260D6">
        <w:rPr>
          <w:szCs w:val="22"/>
        </w:rPr>
        <w:t xml:space="preserve"> activities)</w:t>
      </w:r>
      <w:r w:rsidR="00903EE1">
        <w:rPr>
          <w:szCs w:val="22"/>
        </w:rPr>
        <w:t>.</w:t>
      </w:r>
    </w:p>
    <w:p w14:paraId="5B174C19" w14:textId="77777777" w:rsidR="00FB3171" w:rsidRPr="00FB3171" w:rsidRDefault="00FB3171" w:rsidP="0017125F">
      <w:pPr>
        <w:pStyle w:val="ListParagraph"/>
        <w:numPr>
          <w:ilvl w:val="0"/>
          <w:numId w:val="16"/>
        </w:numPr>
        <w:ind w:hanging="502"/>
        <w:contextualSpacing w:val="0"/>
        <w:rPr>
          <w:szCs w:val="22"/>
        </w:rPr>
      </w:pPr>
      <w:r w:rsidRPr="00FB3171">
        <w:rPr>
          <w:szCs w:val="22"/>
        </w:rPr>
        <w:t xml:space="preserve">actively participating in activities to support White Ribbon </w:t>
      </w:r>
      <w:r w:rsidR="00752C56">
        <w:rPr>
          <w:szCs w:val="22"/>
        </w:rPr>
        <w:t>Australia Workplace A</w:t>
      </w:r>
      <w:r w:rsidRPr="00FB3171">
        <w:rPr>
          <w:szCs w:val="22"/>
        </w:rPr>
        <w:t xml:space="preserve">ccreditation, achieved in November </w:t>
      </w:r>
      <w:r w:rsidR="007260D6">
        <w:rPr>
          <w:szCs w:val="22"/>
        </w:rPr>
        <w:t>2017</w:t>
      </w:r>
      <w:r w:rsidR="00752C56">
        <w:rPr>
          <w:szCs w:val="22"/>
        </w:rPr>
        <w:t xml:space="preserve">. </w:t>
      </w:r>
      <w:r w:rsidRPr="00FB3171">
        <w:rPr>
          <w:szCs w:val="22"/>
        </w:rPr>
        <w:t xml:space="preserve">Activities </w:t>
      </w:r>
      <w:r w:rsidR="00752C56">
        <w:rPr>
          <w:szCs w:val="22"/>
        </w:rPr>
        <w:t xml:space="preserve">included </w:t>
      </w:r>
      <w:r w:rsidRPr="00FB3171">
        <w:rPr>
          <w:szCs w:val="22"/>
        </w:rPr>
        <w:t xml:space="preserve">participating in the Candlelighting Vigil and Darkness to Daylight events; promoting Queensland Women’s Week; </w:t>
      </w:r>
      <w:r w:rsidR="00752C56">
        <w:rPr>
          <w:szCs w:val="22"/>
        </w:rPr>
        <w:t xml:space="preserve">and </w:t>
      </w:r>
      <w:r w:rsidRPr="00FB3171">
        <w:rPr>
          <w:szCs w:val="22"/>
        </w:rPr>
        <w:t>participating in domestic and famil</w:t>
      </w:r>
      <w:r w:rsidR="00752C56">
        <w:rPr>
          <w:szCs w:val="22"/>
        </w:rPr>
        <w:t>y violence prevention training</w:t>
      </w:r>
      <w:r w:rsidR="00045670">
        <w:rPr>
          <w:szCs w:val="22"/>
        </w:rPr>
        <w:t xml:space="preserve"> </w:t>
      </w:r>
      <w:r w:rsidR="00045670" w:rsidRPr="009B6712">
        <w:rPr>
          <w:szCs w:val="22"/>
        </w:rPr>
        <w:t>(refer page</w:t>
      </w:r>
      <w:r w:rsidR="009B6712" w:rsidRPr="009B6712">
        <w:rPr>
          <w:szCs w:val="22"/>
        </w:rPr>
        <w:t xml:space="preserve"> </w:t>
      </w:r>
      <w:r w:rsidR="009B6712" w:rsidRPr="00827F5C">
        <w:rPr>
          <w:szCs w:val="22"/>
        </w:rPr>
        <w:t>33</w:t>
      </w:r>
      <w:r w:rsidR="00045670" w:rsidRPr="00827F5C">
        <w:rPr>
          <w:szCs w:val="22"/>
        </w:rPr>
        <w:t>).</w:t>
      </w:r>
      <w:r w:rsidR="00045670">
        <w:rPr>
          <w:szCs w:val="22"/>
        </w:rPr>
        <w:t xml:space="preserve"> </w:t>
      </w:r>
    </w:p>
    <w:p w14:paraId="27CF31ED" w14:textId="77777777" w:rsidR="00FB3171" w:rsidRPr="00FB3171" w:rsidRDefault="00752C56" w:rsidP="0017125F">
      <w:pPr>
        <w:pStyle w:val="ListParagraph"/>
        <w:numPr>
          <w:ilvl w:val="0"/>
          <w:numId w:val="16"/>
        </w:numPr>
        <w:ind w:hanging="502"/>
        <w:contextualSpacing w:val="0"/>
        <w:rPr>
          <w:szCs w:val="22"/>
        </w:rPr>
      </w:pPr>
      <w:r>
        <w:rPr>
          <w:szCs w:val="22"/>
        </w:rPr>
        <w:t xml:space="preserve">promoting </w:t>
      </w:r>
      <w:r w:rsidR="00FB3171" w:rsidRPr="00FB3171">
        <w:rPr>
          <w:szCs w:val="22"/>
        </w:rPr>
        <w:t xml:space="preserve">activities that support the safety, health and wellbeing of </w:t>
      </w:r>
      <w:r>
        <w:rPr>
          <w:szCs w:val="22"/>
        </w:rPr>
        <w:t xml:space="preserve">Office </w:t>
      </w:r>
      <w:r w:rsidR="00FB3171" w:rsidRPr="00FB3171">
        <w:rPr>
          <w:szCs w:val="22"/>
        </w:rPr>
        <w:t xml:space="preserve">staff such as </w:t>
      </w:r>
      <w:r>
        <w:rPr>
          <w:szCs w:val="22"/>
        </w:rPr>
        <w:t xml:space="preserve">influenza </w:t>
      </w:r>
      <w:r w:rsidR="00FB3171" w:rsidRPr="00FB3171">
        <w:rPr>
          <w:szCs w:val="22"/>
        </w:rPr>
        <w:t>vaccinations</w:t>
      </w:r>
      <w:r>
        <w:rPr>
          <w:szCs w:val="22"/>
        </w:rPr>
        <w:t>;</w:t>
      </w:r>
      <w:r w:rsidR="00FB3171" w:rsidRPr="00FB3171">
        <w:rPr>
          <w:szCs w:val="22"/>
        </w:rPr>
        <w:t xml:space="preserve"> mental health</w:t>
      </w:r>
      <w:r>
        <w:rPr>
          <w:szCs w:val="22"/>
        </w:rPr>
        <w:t xml:space="preserve">; </w:t>
      </w:r>
      <w:r w:rsidR="00545A8A">
        <w:rPr>
          <w:szCs w:val="22"/>
        </w:rPr>
        <w:t>S</w:t>
      </w:r>
      <w:r w:rsidR="00FB3171" w:rsidRPr="00FB3171">
        <w:rPr>
          <w:szCs w:val="22"/>
        </w:rPr>
        <w:t xml:space="preserve">afe </w:t>
      </w:r>
      <w:r w:rsidR="00545A8A">
        <w:rPr>
          <w:szCs w:val="22"/>
        </w:rPr>
        <w:t>W</w:t>
      </w:r>
      <w:r w:rsidR="00FB3171" w:rsidRPr="00FB3171">
        <w:rPr>
          <w:szCs w:val="22"/>
        </w:rPr>
        <w:t xml:space="preserve">ork </w:t>
      </w:r>
      <w:r w:rsidR="00545A8A">
        <w:rPr>
          <w:szCs w:val="22"/>
        </w:rPr>
        <w:t>M</w:t>
      </w:r>
      <w:r w:rsidR="00FB3171" w:rsidRPr="00FB3171">
        <w:rPr>
          <w:szCs w:val="22"/>
        </w:rPr>
        <w:t>onth</w:t>
      </w:r>
      <w:r>
        <w:rPr>
          <w:szCs w:val="22"/>
        </w:rPr>
        <w:t xml:space="preserve">; stroke assessments; </w:t>
      </w:r>
      <w:r w:rsidR="00FB3171" w:rsidRPr="00FB3171">
        <w:rPr>
          <w:szCs w:val="22"/>
        </w:rPr>
        <w:t>promoting the employee assistance</w:t>
      </w:r>
      <w:r>
        <w:rPr>
          <w:szCs w:val="22"/>
        </w:rPr>
        <w:t xml:space="preserve"> program; and supporting </w:t>
      </w:r>
      <w:r w:rsidRPr="00FB3171">
        <w:rPr>
          <w:szCs w:val="22"/>
        </w:rPr>
        <w:t>flexible work practices including</w:t>
      </w:r>
      <w:r>
        <w:rPr>
          <w:szCs w:val="22"/>
        </w:rPr>
        <w:t xml:space="preserve"> </w:t>
      </w:r>
      <w:r w:rsidRPr="00FB3171">
        <w:rPr>
          <w:szCs w:val="22"/>
        </w:rPr>
        <w:t>telecommuting</w:t>
      </w:r>
      <w:r>
        <w:rPr>
          <w:szCs w:val="22"/>
        </w:rPr>
        <w:t xml:space="preserve"> and part-time work</w:t>
      </w:r>
      <w:r w:rsidR="00981DB4">
        <w:rPr>
          <w:szCs w:val="22"/>
        </w:rPr>
        <w:t xml:space="preserve"> </w:t>
      </w:r>
      <w:r w:rsidR="009B6712" w:rsidRPr="009B6712">
        <w:rPr>
          <w:szCs w:val="22"/>
        </w:rPr>
        <w:t xml:space="preserve">(refer pages </w:t>
      </w:r>
      <w:r w:rsidR="009B6712" w:rsidRPr="00827F5C">
        <w:rPr>
          <w:szCs w:val="22"/>
        </w:rPr>
        <w:t>33 to 34</w:t>
      </w:r>
      <w:r w:rsidR="00981DB4" w:rsidRPr="00827F5C">
        <w:rPr>
          <w:szCs w:val="22"/>
        </w:rPr>
        <w:t>).</w:t>
      </w:r>
      <w:r>
        <w:rPr>
          <w:szCs w:val="22"/>
        </w:rPr>
        <w:t xml:space="preserve"> </w:t>
      </w:r>
    </w:p>
    <w:p w14:paraId="52BB1894" w14:textId="77777777" w:rsidR="00025073" w:rsidRDefault="000061FD" w:rsidP="006D0FF1">
      <w:pPr>
        <w:pStyle w:val="Heading3"/>
      </w:pPr>
      <w:r>
        <w:t xml:space="preserve">Service excellence </w:t>
      </w:r>
    </w:p>
    <w:p w14:paraId="6EAACA8B" w14:textId="77777777" w:rsidR="002D4718" w:rsidRPr="0020622A" w:rsidRDefault="000061FD" w:rsidP="0020622A">
      <w:pPr>
        <w:ind w:left="-142"/>
        <w:rPr>
          <w:szCs w:val="22"/>
        </w:rPr>
      </w:pPr>
      <w:r w:rsidRPr="0020622A">
        <w:rPr>
          <w:szCs w:val="22"/>
        </w:rPr>
        <w:t>The Office</w:t>
      </w:r>
      <w:r w:rsidR="002D4718" w:rsidRPr="0020622A">
        <w:rPr>
          <w:szCs w:val="22"/>
        </w:rPr>
        <w:t xml:space="preserve"> continued to </w:t>
      </w:r>
      <w:r w:rsidR="0020622A" w:rsidRPr="0020622A">
        <w:rPr>
          <w:szCs w:val="22"/>
        </w:rPr>
        <w:t xml:space="preserve">build </w:t>
      </w:r>
      <w:r w:rsidR="002D4718" w:rsidRPr="0020622A">
        <w:rPr>
          <w:szCs w:val="22"/>
        </w:rPr>
        <w:t xml:space="preserve">a high-performing workforce with a customer-centric focus </w:t>
      </w:r>
      <w:r w:rsidR="0020622A" w:rsidRPr="0020622A">
        <w:rPr>
          <w:szCs w:val="22"/>
        </w:rPr>
        <w:t xml:space="preserve">in </w:t>
      </w:r>
      <w:r w:rsidR="002D4718" w:rsidRPr="0020622A">
        <w:rPr>
          <w:szCs w:val="22"/>
        </w:rPr>
        <w:t>2017-18</w:t>
      </w:r>
      <w:r w:rsidR="0020622A">
        <w:rPr>
          <w:szCs w:val="22"/>
        </w:rPr>
        <w:t xml:space="preserve"> through </w:t>
      </w:r>
      <w:r w:rsidR="002F4C78">
        <w:rPr>
          <w:szCs w:val="22"/>
        </w:rPr>
        <w:t xml:space="preserve">key </w:t>
      </w:r>
      <w:r w:rsidR="0020622A">
        <w:rPr>
          <w:szCs w:val="22"/>
        </w:rPr>
        <w:t>activities</w:t>
      </w:r>
      <w:r w:rsidR="002D4718" w:rsidRPr="0020622A">
        <w:rPr>
          <w:szCs w:val="22"/>
        </w:rPr>
        <w:t>:</w:t>
      </w:r>
    </w:p>
    <w:p w14:paraId="29291C1A" w14:textId="77777777" w:rsidR="002D4718" w:rsidRPr="0020622A" w:rsidRDefault="0020622A" w:rsidP="0017125F">
      <w:pPr>
        <w:pStyle w:val="ListParagraph"/>
        <w:numPr>
          <w:ilvl w:val="0"/>
          <w:numId w:val="16"/>
        </w:numPr>
        <w:ind w:hanging="502"/>
        <w:contextualSpacing w:val="0"/>
        <w:rPr>
          <w:szCs w:val="22"/>
        </w:rPr>
      </w:pPr>
      <w:r w:rsidRPr="0020622A">
        <w:rPr>
          <w:szCs w:val="22"/>
        </w:rPr>
        <w:t xml:space="preserve">all </w:t>
      </w:r>
      <w:r w:rsidR="00FE48D0">
        <w:rPr>
          <w:szCs w:val="22"/>
        </w:rPr>
        <w:t>employees</w:t>
      </w:r>
      <w:r w:rsidRPr="0020622A">
        <w:rPr>
          <w:szCs w:val="22"/>
        </w:rPr>
        <w:t xml:space="preserve"> </w:t>
      </w:r>
      <w:r>
        <w:rPr>
          <w:szCs w:val="22"/>
        </w:rPr>
        <w:t xml:space="preserve">were provided with the opportunity to engage </w:t>
      </w:r>
      <w:r w:rsidR="00FF19FC" w:rsidRPr="0020622A">
        <w:rPr>
          <w:szCs w:val="22"/>
        </w:rPr>
        <w:t xml:space="preserve">in regular performance conversations </w:t>
      </w:r>
      <w:r w:rsidR="002F4C78">
        <w:rPr>
          <w:szCs w:val="22"/>
        </w:rPr>
        <w:t xml:space="preserve">as part of </w:t>
      </w:r>
      <w:r w:rsidR="00FF19FC" w:rsidRPr="0020622A">
        <w:rPr>
          <w:szCs w:val="22"/>
        </w:rPr>
        <w:t>the Office’s performance and development planning (PDP) process, and to contribute to a constructive workplace culture through one-on-one discuss</w:t>
      </w:r>
      <w:r>
        <w:rPr>
          <w:szCs w:val="22"/>
        </w:rPr>
        <w:t xml:space="preserve">ions with the </w:t>
      </w:r>
      <w:r w:rsidR="00690AF9">
        <w:rPr>
          <w:szCs w:val="22"/>
        </w:rPr>
        <w:t>IGEM</w:t>
      </w:r>
      <w:r>
        <w:rPr>
          <w:szCs w:val="22"/>
        </w:rPr>
        <w:t>,</w:t>
      </w:r>
      <w:r w:rsidR="00FF19FC" w:rsidRPr="0020622A">
        <w:rPr>
          <w:szCs w:val="22"/>
        </w:rPr>
        <w:t xml:space="preserve"> regular team and Office-wide meetings.</w:t>
      </w:r>
      <w:r>
        <w:rPr>
          <w:szCs w:val="22"/>
        </w:rPr>
        <w:t xml:space="preserve"> </w:t>
      </w:r>
      <w:r w:rsidR="00FF19FC" w:rsidRPr="0020622A">
        <w:rPr>
          <w:szCs w:val="22"/>
        </w:rPr>
        <w:t xml:space="preserve">A more contemporary approach to PDP is likely to be realised through Nexus as it continues to </w:t>
      </w:r>
      <w:r w:rsidR="00AF5A65">
        <w:rPr>
          <w:szCs w:val="22"/>
        </w:rPr>
        <w:t xml:space="preserve">be implemented </w:t>
      </w:r>
      <w:r w:rsidR="00FF19FC" w:rsidRPr="0020622A">
        <w:rPr>
          <w:szCs w:val="22"/>
        </w:rPr>
        <w:t xml:space="preserve">in </w:t>
      </w:r>
      <w:r>
        <w:rPr>
          <w:szCs w:val="22"/>
        </w:rPr>
        <w:t>2018-19</w:t>
      </w:r>
      <w:r w:rsidR="005E4D92">
        <w:rPr>
          <w:szCs w:val="22"/>
        </w:rPr>
        <w:t xml:space="preserve"> </w:t>
      </w:r>
      <w:r w:rsidR="005E4D92" w:rsidRPr="009B6712">
        <w:rPr>
          <w:szCs w:val="22"/>
        </w:rPr>
        <w:t xml:space="preserve">(refer page </w:t>
      </w:r>
      <w:r w:rsidR="009B6712" w:rsidRPr="00827F5C">
        <w:rPr>
          <w:szCs w:val="22"/>
        </w:rPr>
        <w:t>19</w:t>
      </w:r>
      <w:r w:rsidR="005E4D92">
        <w:rPr>
          <w:szCs w:val="22"/>
        </w:rPr>
        <w:t>).</w:t>
      </w:r>
      <w:r>
        <w:rPr>
          <w:szCs w:val="22"/>
        </w:rPr>
        <w:t xml:space="preserve"> </w:t>
      </w:r>
    </w:p>
    <w:p w14:paraId="2927D09D" w14:textId="77777777" w:rsidR="0020622A" w:rsidRDefault="0020622A" w:rsidP="0017125F">
      <w:pPr>
        <w:pStyle w:val="ListParagraph"/>
        <w:numPr>
          <w:ilvl w:val="0"/>
          <w:numId w:val="16"/>
        </w:numPr>
        <w:contextualSpacing w:val="0"/>
        <w:rPr>
          <w:szCs w:val="22"/>
        </w:rPr>
      </w:pPr>
      <w:r w:rsidRPr="0020622A">
        <w:rPr>
          <w:szCs w:val="22"/>
        </w:rPr>
        <w:t xml:space="preserve">the </w:t>
      </w:r>
      <w:r w:rsidR="00690AF9">
        <w:rPr>
          <w:szCs w:val="22"/>
        </w:rPr>
        <w:t>IGEM</w:t>
      </w:r>
      <w:r w:rsidR="00AF5A65">
        <w:rPr>
          <w:szCs w:val="22"/>
        </w:rPr>
        <w:t xml:space="preserve"> </w:t>
      </w:r>
      <w:r w:rsidRPr="0020622A">
        <w:rPr>
          <w:szCs w:val="22"/>
        </w:rPr>
        <w:t>foster</w:t>
      </w:r>
      <w:r w:rsidR="00AF5A65">
        <w:rPr>
          <w:szCs w:val="22"/>
        </w:rPr>
        <w:t>ed</w:t>
      </w:r>
      <w:r w:rsidRPr="0020622A">
        <w:rPr>
          <w:szCs w:val="22"/>
        </w:rPr>
        <w:t xml:space="preserve"> a culture of service excellence as an observer of the </w:t>
      </w:r>
      <w:r w:rsidR="00690AF9">
        <w:rPr>
          <w:szCs w:val="22"/>
        </w:rPr>
        <w:t xml:space="preserve">PSBA </w:t>
      </w:r>
      <w:r w:rsidR="00AF5A65">
        <w:rPr>
          <w:szCs w:val="22"/>
        </w:rPr>
        <w:t xml:space="preserve">Board of Management; </w:t>
      </w:r>
      <w:r w:rsidRPr="0020622A">
        <w:rPr>
          <w:szCs w:val="22"/>
        </w:rPr>
        <w:t>as a member of PSBA C</w:t>
      </w:r>
      <w:r w:rsidR="00AF5A65">
        <w:rPr>
          <w:szCs w:val="22"/>
        </w:rPr>
        <w:t xml:space="preserve">ommittees for audit, workforce, business, information and communication technology services; and as a contributor to the </w:t>
      </w:r>
      <w:r w:rsidRPr="0020622A">
        <w:rPr>
          <w:szCs w:val="22"/>
        </w:rPr>
        <w:t xml:space="preserve">review of </w:t>
      </w:r>
      <w:r w:rsidR="00AF5A65">
        <w:rPr>
          <w:szCs w:val="22"/>
        </w:rPr>
        <w:t xml:space="preserve">service agreements with PSBA </w:t>
      </w:r>
      <w:r>
        <w:rPr>
          <w:szCs w:val="22"/>
        </w:rPr>
        <w:t>a</w:t>
      </w:r>
      <w:r w:rsidRPr="0020622A">
        <w:rPr>
          <w:szCs w:val="22"/>
        </w:rPr>
        <w:t xml:space="preserve">nd </w:t>
      </w:r>
      <w:r w:rsidR="0072333D">
        <w:rPr>
          <w:szCs w:val="22"/>
        </w:rPr>
        <w:t>QFES</w:t>
      </w:r>
      <w:r w:rsidR="00903EE1">
        <w:rPr>
          <w:szCs w:val="22"/>
        </w:rPr>
        <w:t>.</w:t>
      </w:r>
    </w:p>
    <w:p w14:paraId="777ACF3A" w14:textId="77777777" w:rsidR="0020622A" w:rsidRPr="008D75C7" w:rsidRDefault="0020622A" w:rsidP="0017125F">
      <w:pPr>
        <w:pStyle w:val="ListParagraph"/>
        <w:numPr>
          <w:ilvl w:val="0"/>
          <w:numId w:val="16"/>
        </w:numPr>
        <w:contextualSpacing w:val="0"/>
        <w:rPr>
          <w:szCs w:val="22"/>
        </w:rPr>
      </w:pPr>
      <w:r w:rsidRPr="008D75C7">
        <w:rPr>
          <w:szCs w:val="22"/>
        </w:rPr>
        <w:lastRenderedPageBreak/>
        <w:t xml:space="preserve">the Office’s values continued to be embedded through </w:t>
      </w:r>
      <w:r w:rsidR="00925D64" w:rsidRPr="008D75C7">
        <w:rPr>
          <w:szCs w:val="22"/>
        </w:rPr>
        <w:t xml:space="preserve">the application of the </w:t>
      </w:r>
      <w:r w:rsidR="009B6712">
        <w:rPr>
          <w:szCs w:val="22"/>
        </w:rPr>
        <w:t>AEDP</w:t>
      </w:r>
      <w:r w:rsidR="00925D64" w:rsidRPr="008D75C7">
        <w:rPr>
          <w:szCs w:val="22"/>
        </w:rPr>
        <w:t>. This is the tool u</w:t>
      </w:r>
      <w:r w:rsidRPr="008D75C7">
        <w:rPr>
          <w:szCs w:val="22"/>
        </w:rPr>
        <w:t xml:space="preserve">sed by </w:t>
      </w:r>
      <w:r w:rsidR="00903EE1" w:rsidRPr="008D75C7">
        <w:rPr>
          <w:szCs w:val="22"/>
        </w:rPr>
        <w:t xml:space="preserve">all </w:t>
      </w:r>
      <w:r w:rsidRPr="008D75C7">
        <w:rPr>
          <w:szCs w:val="22"/>
        </w:rPr>
        <w:t xml:space="preserve">staff to </w:t>
      </w:r>
      <w:r w:rsidR="00903EE1" w:rsidRPr="008D75C7">
        <w:rPr>
          <w:szCs w:val="22"/>
        </w:rPr>
        <w:t xml:space="preserve">guide the process for </w:t>
      </w:r>
      <w:r w:rsidR="00BF6A83">
        <w:rPr>
          <w:szCs w:val="22"/>
        </w:rPr>
        <w:t xml:space="preserve">conducting </w:t>
      </w:r>
      <w:r w:rsidR="00903EE1" w:rsidRPr="008D75C7">
        <w:rPr>
          <w:szCs w:val="22"/>
        </w:rPr>
        <w:t>assurance activities.</w:t>
      </w:r>
      <w:r w:rsidR="00925D64" w:rsidRPr="008D75C7">
        <w:rPr>
          <w:szCs w:val="22"/>
        </w:rPr>
        <w:t xml:space="preserve"> </w:t>
      </w:r>
    </w:p>
    <w:p w14:paraId="3D6CED1D" w14:textId="77777777" w:rsidR="008D75C7" w:rsidRPr="008D75C7" w:rsidRDefault="008D75C7" w:rsidP="0017125F">
      <w:pPr>
        <w:pStyle w:val="ListParagraph"/>
        <w:numPr>
          <w:ilvl w:val="0"/>
          <w:numId w:val="16"/>
        </w:numPr>
        <w:contextualSpacing w:val="0"/>
        <w:rPr>
          <w:szCs w:val="22"/>
        </w:rPr>
      </w:pPr>
      <w:r w:rsidRPr="008D75C7">
        <w:rPr>
          <w:szCs w:val="22"/>
        </w:rPr>
        <w:t xml:space="preserve">the Office sought input from the IGEM Advisory Panel </w:t>
      </w:r>
      <w:r w:rsidR="009B6712" w:rsidRPr="009B6712">
        <w:rPr>
          <w:szCs w:val="22"/>
        </w:rPr>
        <w:t xml:space="preserve">(refer pages </w:t>
      </w:r>
      <w:r w:rsidR="009B6712" w:rsidRPr="00827F5C">
        <w:rPr>
          <w:szCs w:val="22"/>
        </w:rPr>
        <w:t>18 to 19</w:t>
      </w:r>
      <w:r w:rsidRPr="00827F5C">
        <w:rPr>
          <w:szCs w:val="22"/>
        </w:rPr>
        <w:t>)</w:t>
      </w:r>
      <w:r w:rsidRPr="008D75C7">
        <w:rPr>
          <w:szCs w:val="22"/>
        </w:rPr>
        <w:t xml:space="preserve"> and all staff during March to </w:t>
      </w:r>
      <w:r>
        <w:rPr>
          <w:szCs w:val="22"/>
        </w:rPr>
        <w:t>April</w:t>
      </w:r>
      <w:r w:rsidRPr="008D75C7">
        <w:rPr>
          <w:szCs w:val="22"/>
        </w:rPr>
        <w:t xml:space="preserve"> 2018 to develop a refreshed </w:t>
      </w:r>
      <w:r w:rsidRPr="00827F5C">
        <w:rPr>
          <w:i/>
          <w:szCs w:val="22"/>
        </w:rPr>
        <w:t>Strategic Plan 2018-22</w:t>
      </w:r>
      <w:r w:rsidRPr="008D75C7">
        <w:rPr>
          <w:szCs w:val="22"/>
        </w:rPr>
        <w:t xml:space="preserve">. The Office’s </w:t>
      </w:r>
      <w:r>
        <w:rPr>
          <w:szCs w:val="22"/>
        </w:rPr>
        <w:t xml:space="preserve">Strategic Plan and </w:t>
      </w:r>
      <w:r w:rsidRPr="008D75C7">
        <w:rPr>
          <w:szCs w:val="22"/>
        </w:rPr>
        <w:t>program of work</w:t>
      </w:r>
      <w:r>
        <w:rPr>
          <w:szCs w:val="22"/>
        </w:rPr>
        <w:t xml:space="preserve"> for the 2018-19 financial year</w:t>
      </w:r>
      <w:r w:rsidRPr="008D75C7">
        <w:rPr>
          <w:szCs w:val="22"/>
        </w:rPr>
        <w:t xml:space="preserve"> informed the development of the Office’s </w:t>
      </w:r>
      <w:r w:rsidRPr="00827F5C">
        <w:rPr>
          <w:i/>
          <w:szCs w:val="22"/>
        </w:rPr>
        <w:t>Operational Plan for 2018-1</w:t>
      </w:r>
      <w:r w:rsidR="00DC3F31" w:rsidRPr="00827F5C">
        <w:rPr>
          <w:i/>
          <w:szCs w:val="22"/>
        </w:rPr>
        <w:t>9</w:t>
      </w:r>
      <w:r w:rsidRPr="008D75C7">
        <w:rPr>
          <w:szCs w:val="22"/>
        </w:rPr>
        <w:t xml:space="preserve">. </w:t>
      </w:r>
    </w:p>
    <w:p w14:paraId="16D153EB" w14:textId="77777777" w:rsidR="00903EE1" w:rsidRDefault="00903EE1" w:rsidP="002D3B0F">
      <w:pPr>
        <w:ind w:left="-142"/>
        <w:rPr>
          <w:szCs w:val="22"/>
        </w:rPr>
      </w:pPr>
      <w:r w:rsidRPr="0020622A">
        <w:rPr>
          <w:szCs w:val="22"/>
        </w:rPr>
        <w:t xml:space="preserve">Satisfaction with </w:t>
      </w:r>
      <w:r>
        <w:rPr>
          <w:szCs w:val="22"/>
        </w:rPr>
        <w:t xml:space="preserve">the services delivered by the </w:t>
      </w:r>
      <w:r w:rsidRPr="0020622A">
        <w:rPr>
          <w:szCs w:val="22"/>
        </w:rPr>
        <w:t>Office continue</w:t>
      </w:r>
      <w:r w:rsidR="00BF6A83">
        <w:rPr>
          <w:szCs w:val="22"/>
        </w:rPr>
        <w:t>d</w:t>
      </w:r>
      <w:r w:rsidRPr="0020622A">
        <w:rPr>
          <w:szCs w:val="22"/>
        </w:rPr>
        <w:t xml:space="preserve"> to be extremely high. </w:t>
      </w:r>
      <w:r w:rsidR="00A17A33">
        <w:rPr>
          <w:szCs w:val="22"/>
        </w:rPr>
        <w:t xml:space="preserve">In February to March 2018, the Office conducted its annual customer satisfaction survey of </w:t>
      </w:r>
      <w:r w:rsidR="00867473">
        <w:rPr>
          <w:szCs w:val="22"/>
        </w:rPr>
        <w:t xml:space="preserve">key </w:t>
      </w:r>
      <w:r w:rsidR="00A17A33">
        <w:rPr>
          <w:szCs w:val="22"/>
        </w:rPr>
        <w:t xml:space="preserve">stakeholders. Overall, 81% of stakeholders were ‘very satisfied’ or ‘satisfied’ with the services </w:t>
      </w:r>
      <w:r w:rsidR="001F6EE3">
        <w:rPr>
          <w:szCs w:val="22"/>
        </w:rPr>
        <w:t>provided by the Office, exceeding the target of 80% satisfaction. No respondents were ‘very dissatisfied’ with services</w:t>
      </w:r>
      <w:r w:rsidR="00BF6A83">
        <w:rPr>
          <w:szCs w:val="22"/>
        </w:rPr>
        <w:t xml:space="preserve"> overall</w:t>
      </w:r>
      <w:r w:rsidR="001F6EE3">
        <w:rPr>
          <w:szCs w:val="22"/>
        </w:rPr>
        <w:t xml:space="preserve">. </w:t>
      </w:r>
      <w:r w:rsidR="008D75C7">
        <w:rPr>
          <w:szCs w:val="22"/>
        </w:rPr>
        <w:t xml:space="preserve">These survey results were shared with staff and opportunities to improve service delivery identified. </w:t>
      </w:r>
      <w:r w:rsidR="001F6EE3">
        <w:rPr>
          <w:szCs w:val="22"/>
        </w:rPr>
        <w:t xml:space="preserve">Refer pages </w:t>
      </w:r>
      <w:r w:rsidR="009B6712" w:rsidRPr="00827F5C">
        <w:rPr>
          <w:szCs w:val="22"/>
        </w:rPr>
        <w:t>12 to 13</w:t>
      </w:r>
      <w:r w:rsidR="009B6712">
        <w:rPr>
          <w:szCs w:val="22"/>
        </w:rPr>
        <w:t xml:space="preserve"> </w:t>
      </w:r>
      <w:r w:rsidR="001F6EE3">
        <w:rPr>
          <w:szCs w:val="22"/>
        </w:rPr>
        <w:t xml:space="preserve">for further information on customer satisfaction with the Office’s service delivery. </w:t>
      </w:r>
    </w:p>
    <w:p w14:paraId="778D24CD" w14:textId="77777777" w:rsidR="00775DCA" w:rsidRDefault="007D6C4C" w:rsidP="006D0FF1">
      <w:pPr>
        <w:pStyle w:val="Heading3"/>
      </w:pPr>
      <w:r>
        <w:t xml:space="preserve">Workforce capability </w:t>
      </w:r>
    </w:p>
    <w:p w14:paraId="7CC9C2C8" w14:textId="77777777" w:rsidR="007D6C4C" w:rsidRPr="00403862" w:rsidRDefault="007D6C4C" w:rsidP="002D3B0F">
      <w:pPr>
        <w:ind w:left="-142"/>
        <w:rPr>
          <w:szCs w:val="22"/>
        </w:rPr>
      </w:pPr>
      <w:r w:rsidRPr="00403862">
        <w:rPr>
          <w:szCs w:val="22"/>
        </w:rPr>
        <w:t xml:space="preserve">The Office’s </w:t>
      </w:r>
      <w:r w:rsidRPr="00827F5C">
        <w:rPr>
          <w:i/>
          <w:szCs w:val="22"/>
        </w:rPr>
        <w:t>Workforce Strategy 2017-21</w:t>
      </w:r>
      <w:r w:rsidRPr="00403862">
        <w:rPr>
          <w:szCs w:val="22"/>
        </w:rPr>
        <w:t xml:space="preserve"> was realigned to better reflect sectorwide workforce issues, and promoted to all staff.</w:t>
      </w:r>
      <w:r w:rsidR="00403862" w:rsidRPr="00403862">
        <w:rPr>
          <w:szCs w:val="22"/>
        </w:rPr>
        <w:t xml:space="preserve"> The Office’s Workforce Strategy Sub-Committee met on four occasions.</w:t>
      </w:r>
    </w:p>
    <w:p w14:paraId="63426BAA" w14:textId="77777777" w:rsidR="00012F86" w:rsidRPr="00012F86" w:rsidRDefault="007D6C4C" w:rsidP="00012F86">
      <w:pPr>
        <w:ind w:left="-142"/>
        <w:rPr>
          <w:szCs w:val="22"/>
        </w:rPr>
      </w:pPr>
      <w:r w:rsidRPr="00012F86">
        <w:rPr>
          <w:szCs w:val="22"/>
        </w:rPr>
        <w:t>Workforce capability continued to be strengthened through</w:t>
      </w:r>
      <w:r w:rsidR="00012F86" w:rsidRPr="00012F86">
        <w:rPr>
          <w:szCs w:val="22"/>
        </w:rPr>
        <w:t>:</w:t>
      </w:r>
    </w:p>
    <w:p w14:paraId="06294016" w14:textId="77777777" w:rsidR="00012F86" w:rsidRPr="00012F86" w:rsidRDefault="00012F86" w:rsidP="0017125F">
      <w:pPr>
        <w:pStyle w:val="ListParagraph"/>
        <w:numPr>
          <w:ilvl w:val="0"/>
          <w:numId w:val="16"/>
        </w:numPr>
        <w:ind w:hanging="502"/>
        <w:contextualSpacing w:val="0"/>
        <w:rPr>
          <w:szCs w:val="22"/>
        </w:rPr>
      </w:pPr>
      <w:r w:rsidRPr="00012F86">
        <w:rPr>
          <w:szCs w:val="22"/>
        </w:rPr>
        <w:t>contemporary recruitment and selection practices</w:t>
      </w:r>
    </w:p>
    <w:p w14:paraId="778C51F9" w14:textId="77777777" w:rsidR="00012F86" w:rsidRDefault="00BF6A83" w:rsidP="0017125F">
      <w:pPr>
        <w:pStyle w:val="ListParagraph"/>
        <w:numPr>
          <w:ilvl w:val="0"/>
          <w:numId w:val="16"/>
        </w:numPr>
        <w:ind w:hanging="502"/>
        <w:contextualSpacing w:val="0"/>
        <w:rPr>
          <w:szCs w:val="22"/>
        </w:rPr>
      </w:pPr>
      <w:r>
        <w:rPr>
          <w:szCs w:val="22"/>
        </w:rPr>
        <w:t xml:space="preserve">staff </w:t>
      </w:r>
      <w:r w:rsidR="00012F86" w:rsidRPr="00012F86">
        <w:rPr>
          <w:szCs w:val="22"/>
        </w:rPr>
        <w:t>participation in a range of targeted leadership and development</w:t>
      </w:r>
      <w:r>
        <w:rPr>
          <w:szCs w:val="22"/>
        </w:rPr>
        <w:t xml:space="preserve"> activities</w:t>
      </w:r>
      <w:r w:rsidR="00012F86" w:rsidRPr="00012F86">
        <w:rPr>
          <w:szCs w:val="22"/>
        </w:rPr>
        <w:t xml:space="preserve"> including the Executive Challenge Academy leadership course; People Matters Program; and a five-day in-house leadership development program</w:t>
      </w:r>
    </w:p>
    <w:p w14:paraId="5D31B052" w14:textId="77777777" w:rsidR="00012F86" w:rsidRPr="00012F86" w:rsidRDefault="00012F86" w:rsidP="0017125F">
      <w:pPr>
        <w:pStyle w:val="ListParagraph"/>
        <w:numPr>
          <w:ilvl w:val="0"/>
          <w:numId w:val="16"/>
        </w:numPr>
        <w:ind w:hanging="502"/>
        <w:contextualSpacing w:val="0"/>
        <w:rPr>
          <w:szCs w:val="22"/>
        </w:rPr>
      </w:pPr>
      <w:r w:rsidRPr="00012F86">
        <w:rPr>
          <w:szCs w:val="22"/>
        </w:rPr>
        <w:t xml:space="preserve">supporting mobility of staff from other public safety agencies and local government to work in the Office. </w:t>
      </w:r>
    </w:p>
    <w:p w14:paraId="56462529" w14:textId="5DE43C95" w:rsidR="00012F86" w:rsidRPr="00E92B24" w:rsidRDefault="00012F86" w:rsidP="00A53AB7">
      <w:pPr>
        <w:ind w:left="-142"/>
        <w:rPr>
          <w:szCs w:val="22"/>
        </w:rPr>
      </w:pPr>
      <w:r w:rsidRPr="00E92B24">
        <w:rPr>
          <w:szCs w:val="22"/>
        </w:rPr>
        <w:t xml:space="preserve">The Office continued to promote the use of common language through the lexicon project. </w:t>
      </w:r>
      <w:r w:rsidR="00E92B24" w:rsidRPr="00E92B24">
        <w:rPr>
          <w:szCs w:val="22"/>
        </w:rPr>
        <w:t xml:space="preserve">The draft of the inaugural </w:t>
      </w:r>
      <w:r w:rsidR="00E92B24" w:rsidRPr="00827F5C">
        <w:rPr>
          <w:i/>
          <w:szCs w:val="22"/>
        </w:rPr>
        <w:t xml:space="preserve">Queensland </w:t>
      </w:r>
      <w:r w:rsidR="00601BB3" w:rsidRPr="00827F5C">
        <w:rPr>
          <w:i/>
          <w:szCs w:val="22"/>
        </w:rPr>
        <w:t>Disas</w:t>
      </w:r>
      <w:r w:rsidR="00601BB3">
        <w:rPr>
          <w:i/>
          <w:szCs w:val="22"/>
        </w:rPr>
        <w:t>t</w:t>
      </w:r>
      <w:r w:rsidR="00601BB3" w:rsidRPr="00827F5C">
        <w:rPr>
          <w:i/>
          <w:szCs w:val="22"/>
        </w:rPr>
        <w:t xml:space="preserve">er Management </w:t>
      </w:r>
      <w:r w:rsidR="00E92B24" w:rsidRPr="00827F5C">
        <w:rPr>
          <w:i/>
          <w:szCs w:val="22"/>
        </w:rPr>
        <w:t>Lexicon</w:t>
      </w:r>
      <w:r w:rsidR="00E92B24" w:rsidRPr="00E92B24">
        <w:rPr>
          <w:szCs w:val="22"/>
        </w:rPr>
        <w:t xml:space="preserve"> </w:t>
      </w:r>
      <w:r w:rsidRPr="00E92B24">
        <w:rPr>
          <w:szCs w:val="22"/>
        </w:rPr>
        <w:t>was endorsed by the IGEM Advisory Panel</w:t>
      </w:r>
      <w:r w:rsidR="00E92B24" w:rsidRPr="00E92B24">
        <w:rPr>
          <w:szCs w:val="22"/>
        </w:rPr>
        <w:t xml:space="preserve"> </w:t>
      </w:r>
      <w:r w:rsidR="00E92B24" w:rsidRPr="009B6712">
        <w:rPr>
          <w:szCs w:val="22"/>
        </w:rPr>
        <w:t xml:space="preserve">(refer pages </w:t>
      </w:r>
      <w:r w:rsidR="009B6712" w:rsidRPr="00827F5C">
        <w:rPr>
          <w:szCs w:val="22"/>
        </w:rPr>
        <w:t>18 to 19</w:t>
      </w:r>
      <w:r w:rsidR="00E92B24" w:rsidRPr="00827F5C">
        <w:rPr>
          <w:szCs w:val="22"/>
        </w:rPr>
        <w:t>)</w:t>
      </w:r>
      <w:r w:rsidR="00E92B24" w:rsidRPr="00E92B24">
        <w:rPr>
          <w:szCs w:val="22"/>
        </w:rPr>
        <w:t xml:space="preserve"> in November 2017. The lexicon </w:t>
      </w:r>
      <w:r w:rsidRPr="00E92B24">
        <w:rPr>
          <w:szCs w:val="22"/>
        </w:rPr>
        <w:t>contains more than 1</w:t>
      </w:r>
      <w:r w:rsidR="00E92B24" w:rsidRPr="00E92B24">
        <w:rPr>
          <w:szCs w:val="22"/>
        </w:rPr>
        <w:t>00 terms</w:t>
      </w:r>
      <w:r w:rsidRPr="00E92B24">
        <w:rPr>
          <w:szCs w:val="22"/>
        </w:rPr>
        <w:t xml:space="preserve"> sourced from Queensland legislation and guidelines,</w:t>
      </w:r>
      <w:r w:rsidR="00E92B24" w:rsidRPr="00E92B24">
        <w:rPr>
          <w:szCs w:val="22"/>
        </w:rPr>
        <w:t xml:space="preserve"> and includes </w:t>
      </w:r>
      <w:r w:rsidRPr="00E92B24">
        <w:rPr>
          <w:szCs w:val="22"/>
        </w:rPr>
        <w:t>reference to relevant national and international</w:t>
      </w:r>
      <w:r w:rsidR="00E92B24">
        <w:rPr>
          <w:szCs w:val="22"/>
        </w:rPr>
        <w:t xml:space="preserve"> terms. </w:t>
      </w:r>
      <w:r w:rsidR="00E92B24" w:rsidRPr="00E92B24">
        <w:rPr>
          <w:szCs w:val="22"/>
        </w:rPr>
        <w:t xml:space="preserve">Engagement with the Lexicon Working Group was undertaken on an as needs basis throughout 2017-18. The Office also </w:t>
      </w:r>
      <w:r w:rsidRPr="00E92B24">
        <w:rPr>
          <w:szCs w:val="22"/>
        </w:rPr>
        <w:t xml:space="preserve">played a key role with the Australian Institute </w:t>
      </w:r>
      <w:r w:rsidR="00601BB3">
        <w:rPr>
          <w:szCs w:val="22"/>
        </w:rPr>
        <w:t>for</w:t>
      </w:r>
      <w:r w:rsidR="00E92B24" w:rsidRPr="00E92B24">
        <w:rPr>
          <w:szCs w:val="22"/>
        </w:rPr>
        <w:t xml:space="preserve"> </w:t>
      </w:r>
      <w:r w:rsidRPr="00E92B24">
        <w:rPr>
          <w:szCs w:val="22"/>
        </w:rPr>
        <w:t>Disaster Resilience Glossary Steeri</w:t>
      </w:r>
      <w:r w:rsidR="00E92B24" w:rsidRPr="00E92B24">
        <w:rPr>
          <w:szCs w:val="22"/>
        </w:rPr>
        <w:t xml:space="preserve">ng Committee and Working Group. </w:t>
      </w:r>
      <w:r w:rsidR="00E92B24">
        <w:rPr>
          <w:szCs w:val="22"/>
        </w:rPr>
        <w:t>The l</w:t>
      </w:r>
      <w:r w:rsidR="00E92B24" w:rsidRPr="00E92B24">
        <w:rPr>
          <w:szCs w:val="22"/>
        </w:rPr>
        <w:t xml:space="preserve">exicon will </w:t>
      </w:r>
      <w:r w:rsidR="00E92B24">
        <w:rPr>
          <w:szCs w:val="22"/>
        </w:rPr>
        <w:t xml:space="preserve">complement the Office’s existing publications and </w:t>
      </w:r>
      <w:r w:rsidR="00E92B24" w:rsidRPr="00E92B24">
        <w:rPr>
          <w:szCs w:val="22"/>
        </w:rPr>
        <w:t>support the refresh of the Emergency Management Assurance Framework</w:t>
      </w:r>
      <w:r w:rsidR="00E92B24">
        <w:rPr>
          <w:szCs w:val="22"/>
        </w:rPr>
        <w:t xml:space="preserve"> </w:t>
      </w:r>
      <w:r w:rsidR="00E92B24" w:rsidRPr="009B6712">
        <w:rPr>
          <w:szCs w:val="22"/>
        </w:rPr>
        <w:t>(refer page</w:t>
      </w:r>
      <w:r w:rsidR="009B6712" w:rsidRPr="009B6712">
        <w:rPr>
          <w:szCs w:val="22"/>
        </w:rPr>
        <w:t xml:space="preserve"> </w:t>
      </w:r>
      <w:r w:rsidR="009B6712" w:rsidRPr="00827F5C">
        <w:rPr>
          <w:szCs w:val="22"/>
        </w:rPr>
        <w:t>16</w:t>
      </w:r>
      <w:r w:rsidR="00E92B24" w:rsidRPr="00B5046A">
        <w:rPr>
          <w:szCs w:val="22"/>
        </w:rPr>
        <w:t>)</w:t>
      </w:r>
      <w:r w:rsidR="00E92B24">
        <w:rPr>
          <w:szCs w:val="22"/>
        </w:rPr>
        <w:t xml:space="preserve">. </w:t>
      </w:r>
    </w:p>
    <w:p w14:paraId="5C0C7AE5" w14:textId="77777777" w:rsidR="00F02B7D" w:rsidRPr="0036663B" w:rsidRDefault="00F02B7D" w:rsidP="00F02B7D">
      <w:pPr>
        <w:spacing w:before="240"/>
        <w:ind w:left="-142"/>
        <w:rPr>
          <w:rFonts w:eastAsia="Cambria"/>
          <w:b/>
          <w:sz w:val="28"/>
          <w:szCs w:val="28"/>
        </w:rPr>
      </w:pPr>
      <w:r w:rsidRPr="0036663B">
        <w:rPr>
          <w:rFonts w:eastAsia="Cambria"/>
          <w:b/>
          <w:sz w:val="28"/>
          <w:szCs w:val="28"/>
        </w:rPr>
        <w:t xml:space="preserve">Working for Queensland </w:t>
      </w:r>
      <w:r>
        <w:rPr>
          <w:rFonts w:eastAsia="Cambria"/>
          <w:b/>
          <w:sz w:val="28"/>
          <w:szCs w:val="28"/>
        </w:rPr>
        <w:t>e</w:t>
      </w:r>
      <w:r w:rsidRPr="0036663B">
        <w:rPr>
          <w:rFonts w:eastAsia="Cambria"/>
          <w:b/>
          <w:sz w:val="28"/>
          <w:szCs w:val="28"/>
        </w:rPr>
        <w:t xml:space="preserve">mployee </w:t>
      </w:r>
      <w:r>
        <w:rPr>
          <w:rFonts w:eastAsia="Cambria"/>
          <w:b/>
          <w:sz w:val="28"/>
          <w:szCs w:val="28"/>
        </w:rPr>
        <w:t>opinion su</w:t>
      </w:r>
      <w:r w:rsidRPr="0036663B">
        <w:rPr>
          <w:rFonts w:eastAsia="Cambria"/>
          <w:b/>
          <w:sz w:val="28"/>
          <w:szCs w:val="28"/>
        </w:rPr>
        <w:t xml:space="preserve">rvey  </w:t>
      </w:r>
    </w:p>
    <w:p w14:paraId="65D39DB2" w14:textId="77777777" w:rsidR="00F02B7D" w:rsidRDefault="007D6C4C" w:rsidP="00A53AB7">
      <w:pPr>
        <w:ind w:left="-142"/>
        <w:rPr>
          <w:szCs w:val="22"/>
        </w:rPr>
      </w:pPr>
      <w:r w:rsidRPr="00012F86">
        <w:rPr>
          <w:szCs w:val="22"/>
        </w:rPr>
        <w:t>The Office participated in the sec</w:t>
      </w:r>
      <w:r w:rsidR="00B62444">
        <w:rPr>
          <w:szCs w:val="22"/>
        </w:rPr>
        <w:t>torwide Working for Queensland e</w:t>
      </w:r>
      <w:r w:rsidRPr="00012F86">
        <w:rPr>
          <w:szCs w:val="22"/>
        </w:rPr>
        <w:t xml:space="preserve">mployee </w:t>
      </w:r>
      <w:r w:rsidR="00B62444">
        <w:rPr>
          <w:szCs w:val="22"/>
        </w:rPr>
        <w:t>opinion s</w:t>
      </w:r>
      <w:r w:rsidRPr="00012F86">
        <w:rPr>
          <w:szCs w:val="22"/>
        </w:rPr>
        <w:t xml:space="preserve">urvey in July to August 2017. </w:t>
      </w:r>
      <w:r w:rsidR="00F02B7D">
        <w:rPr>
          <w:szCs w:val="22"/>
        </w:rPr>
        <w:t xml:space="preserve">The survey </w:t>
      </w:r>
      <w:r w:rsidR="00F02B7D" w:rsidRPr="0061552E">
        <w:rPr>
          <w:rFonts w:eastAsia="Cambria"/>
        </w:rPr>
        <w:t xml:space="preserve">measures workplace climate and </w:t>
      </w:r>
      <w:r w:rsidR="00F02B7D">
        <w:rPr>
          <w:rFonts w:eastAsia="Cambria"/>
        </w:rPr>
        <w:t xml:space="preserve">gives </w:t>
      </w:r>
      <w:r w:rsidR="00F02B7D" w:rsidRPr="0061552E">
        <w:rPr>
          <w:rFonts w:eastAsia="Cambria"/>
        </w:rPr>
        <w:t xml:space="preserve">employees the opportunity to </w:t>
      </w:r>
      <w:r w:rsidR="00F02B7D">
        <w:rPr>
          <w:rFonts w:eastAsia="Cambria"/>
        </w:rPr>
        <w:t>provide</w:t>
      </w:r>
      <w:r w:rsidR="00F02B7D" w:rsidRPr="0061552E">
        <w:rPr>
          <w:rFonts w:eastAsia="Cambria"/>
        </w:rPr>
        <w:t xml:space="preserve"> their views and opinions about a wide range of workplace factors</w:t>
      </w:r>
      <w:r w:rsidR="00F02B7D">
        <w:rPr>
          <w:rFonts w:eastAsia="Cambria"/>
        </w:rPr>
        <w:t xml:space="preserve">. </w:t>
      </w:r>
      <w:r w:rsidR="00F02B7D" w:rsidRPr="0061552E">
        <w:rPr>
          <w:rFonts w:eastAsia="Cambria"/>
        </w:rPr>
        <w:t xml:space="preserve">The </w:t>
      </w:r>
      <w:r w:rsidR="00F02B7D">
        <w:rPr>
          <w:rFonts w:eastAsia="Cambria"/>
        </w:rPr>
        <w:t xml:space="preserve">Office </w:t>
      </w:r>
      <w:r w:rsidR="00F02B7D" w:rsidRPr="0061552E">
        <w:rPr>
          <w:rFonts w:eastAsia="Cambria"/>
        </w:rPr>
        <w:t xml:space="preserve">achieved a response rate of </w:t>
      </w:r>
      <w:r w:rsidR="00F02B7D">
        <w:rPr>
          <w:rFonts w:eastAsia="Cambria"/>
        </w:rPr>
        <w:t>100</w:t>
      </w:r>
      <w:r w:rsidR="00F02B7D" w:rsidRPr="0061552E">
        <w:rPr>
          <w:rFonts w:eastAsia="Cambria"/>
        </w:rPr>
        <w:t xml:space="preserve">% in 2017.  </w:t>
      </w:r>
    </w:p>
    <w:p w14:paraId="0255B532" w14:textId="77777777" w:rsidR="005F2D1A" w:rsidRDefault="007D6C4C" w:rsidP="00322D29">
      <w:pPr>
        <w:autoSpaceDE w:val="0"/>
        <w:autoSpaceDN w:val="0"/>
        <w:adjustRightInd w:val="0"/>
        <w:ind w:left="-142"/>
        <w:rPr>
          <w:rFonts w:eastAsia="Cambria"/>
          <w:b/>
          <w:sz w:val="28"/>
          <w:szCs w:val="28"/>
        </w:rPr>
      </w:pPr>
      <w:r w:rsidRPr="00012F86">
        <w:rPr>
          <w:szCs w:val="22"/>
        </w:rPr>
        <w:t>Results were positive for agency engagement (81%), organisational leadership (76%), innovation (89%), and use of flexible work practices (73%) (</w:t>
      </w:r>
      <w:r w:rsidRPr="009B6712">
        <w:rPr>
          <w:szCs w:val="22"/>
        </w:rPr>
        <w:t xml:space="preserve">refer pages </w:t>
      </w:r>
      <w:r w:rsidR="009B6712" w:rsidRPr="00827F5C">
        <w:rPr>
          <w:szCs w:val="22"/>
        </w:rPr>
        <w:t>18 to 19</w:t>
      </w:r>
      <w:r w:rsidRPr="00012F86">
        <w:rPr>
          <w:szCs w:val="22"/>
        </w:rPr>
        <w:t xml:space="preserve">). </w:t>
      </w:r>
      <w:r w:rsidR="00BF6A83">
        <w:rPr>
          <w:szCs w:val="22"/>
        </w:rPr>
        <w:t>These r</w:t>
      </w:r>
      <w:r w:rsidRPr="00012F86">
        <w:rPr>
          <w:szCs w:val="22"/>
        </w:rPr>
        <w:t xml:space="preserve">esults were explored in staff workshops. </w:t>
      </w:r>
      <w:r w:rsidR="00F02B7D" w:rsidRPr="0061552E">
        <w:rPr>
          <w:rFonts w:eastAsia="Cambria"/>
        </w:rPr>
        <w:t xml:space="preserve">A number of </w:t>
      </w:r>
      <w:r w:rsidR="00F02B7D">
        <w:rPr>
          <w:rFonts w:eastAsia="Cambria"/>
        </w:rPr>
        <w:t xml:space="preserve">activities </w:t>
      </w:r>
      <w:r w:rsidR="00F02B7D" w:rsidRPr="0061552E">
        <w:rPr>
          <w:rFonts w:eastAsia="Cambria"/>
        </w:rPr>
        <w:t>have been progressively implemented to facilitate workplace improvement</w:t>
      </w:r>
      <w:r w:rsidR="00F02B7D">
        <w:rPr>
          <w:rFonts w:eastAsia="Cambria"/>
        </w:rPr>
        <w:t>s</w:t>
      </w:r>
      <w:r w:rsidR="00F02B7D" w:rsidRPr="0061552E">
        <w:rPr>
          <w:rFonts w:eastAsia="Cambria"/>
        </w:rPr>
        <w:t xml:space="preserve"> across the </w:t>
      </w:r>
      <w:r w:rsidR="00F02B7D">
        <w:rPr>
          <w:rFonts w:eastAsia="Cambria"/>
        </w:rPr>
        <w:t xml:space="preserve">Office. These include </w:t>
      </w:r>
      <w:r w:rsidRPr="00012F86">
        <w:rPr>
          <w:szCs w:val="22"/>
        </w:rPr>
        <w:t>flexible work practices</w:t>
      </w:r>
      <w:r w:rsidR="00F02B7D">
        <w:rPr>
          <w:szCs w:val="22"/>
        </w:rPr>
        <w:t>;</w:t>
      </w:r>
      <w:r w:rsidRPr="00012F86">
        <w:rPr>
          <w:szCs w:val="22"/>
        </w:rPr>
        <w:t xml:space="preserve"> information sharing</w:t>
      </w:r>
      <w:r w:rsidR="00F02B7D">
        <w:rPr>
          <w:szCs w:val="22"/>
        </w:rPr>
        <w:t>; and</w:t>
      </w:r>
      <w:r w:rsidRPr="00012F86">
        <w:rPr>
          <w:szCs w:val="22"/>
        </w:rPr>
        <w:t xml:space="preserve"> staff participation in planning</w:t>
      </w:r>
      <w:r w:rsidR="00403862" w:rsidRPr="00012F86">
        <w:rPr>
          <w:szCs w:val="22"/>
        </w:rPr>
        <w:t xml:space="preserve">, </w:t>
      </w:r>
      <w:r w:rsidRPr="00012F86">
        <w:rPr>
          <w:szCs w:val="22"/>
        </w:rPr>
        <w:t xml:space="preserve">leadership and </w:t>
      </w:r>
      <w:r w:rsidR="00403862" w:rsidRPr="00012F86">
        <w:rPr>
          <w:szCs w:val="22"/>
        </w:rPr>
        <w:t>management development programs</w:t>
      </w:r>
      <w:r w:rsidR="00F02B7D">
        <w:rPr>
          <w:szCs w:val="22"/>
        </w:rPr>
        <w:t xml:space="preserve">. These ensure that </w:t>
      </w:r>
      <w:r w:rsidR="00403862" w:rsidRPr="00012F86">
        <w:rPr>
          <w:szCs w:val="22"/>
        </w:rPr>
        <w:t>the Office continue</w:t>
      </w:r>
      <w:r w:rsidR="00F02B7D">
        <w:rPr>
          <w:szCs w:val="22"/>
        </w:rPr>
        <w:t>s</w:t>
      </w:r>
      <w:r w:rsidR="00403862" w:rsidRPr="00012F86">
        <w:rPr>
          <w:szCs w:val="22"/>
        </w:rPr>
        <w:t xml:space="preserve"> to be a great place to work. </w:t>
      </w:r>
      <w:r w:rsidR="005F2D1A">
        <w:rPr>
          <w:rFonts w:eastAsia="Cambria"/>
          <w:b/>
          <w:sz w:val="28"/>
          <w:szCs w:val="28"/>
        </w:rPr>
        <w:br w:type="page"/>
      </w:r>
    </w:p>
    <w:p w14:paraId="2D14F87C" w14:textId="77777777" w:rsidR="00426138" w:rsidRPr="00341581" w:rsidRDefault="00426138" w:rsidP="00194F51">
      <w:pPr>
        <w:pStyle w:val="Heading1"/>
        <w:ind w:left="0" w:right="57"/>
      </w:pPr>
      <w:bookmarkStart w:id="58" w:name="_Toc415049802"/>
      <w:bookmarkStart w:id="59" w:name="_Toc415050354"/>
      <w:bookmarkStart w:id="60" w:name="_Toc441671812"/>
      <w:bookmarkStart w:id="61" w:name="_Toc441672100"/>
      <w:bookmarkStart w:id="62" w:name="_Toc442168887"/>
      <w:bookmarkStart w:id="63" w:name="_Toc442339180"/>
      <w:bookmarkStart w:id="64" w:name="_Toc522266468"/>
      <w:bookmarkStart w:id="65" w:name="_Toc524519414"/>
      <w:r w:rsidRPr="00341581">
        <w:lastRenderedPageBreak/>
        <w:t>G</w:t>
      </w:r>
      <w:r w:rsidR="00B2375C">
        <w:t>overnance</w:t>
      </w:r>
      <w:bookmarkEnd w:id="58"/>
      <w:bookmarkEnd w:id="59"/>
      <w:bookmarkEnd w:id="60"/>
      <w:bookmarkEnd w:id="61"/>
      <w:bookmarkEnd w:id="62"/>
      <w:bookmarkEnd w:id="63"/>
      <w:bookmarkEnd w:id="64"/>
      <w:bookmarkEnd w:id="65"/>
    </w:p>
    <w:p w14:paraId="188D852B" w14:textId="77777777" w:rsidR="00426138" w:rsidRDefault="00D47EFC" w:rsidP="003463C9">
      <w:pPr>
        <w:pStyle w:val="Heading2"/>
      </w:pPr>
      <w:bookmarkStart w:id="66" w:name="_Toc524519415"/>
      <w:bookmarkStart w:id="67" w:name="_Toc415049803"/>
      <w:bookmarkStart w:id="68" w:name="_Toc415050355"/>
      <w:bookmarkStart w:id="69" w:name="_Toc441671813"/>
      <w:bookmarkStart w:id="70" w:name="_Toc441672101"/>
      <w:bookmarkStart w:id="71" w:name="_Toc442168888"/>
      <w:bookmarkStart w:id="72" w:name="_Toc522266469"/>
      <w:r>
        <w:t>Executive management</w:t>
      </w:r>
      <w:bookmarkEnd w:id="66"/>
      <w:r>
        <w:t xml:space="preserve"> </w:t>
      </w:r>
      <w:bookmarkEnd w:id="67"/>
      <w:bookmarkEnd w:id="68"/>
      <w:bookmarkEnd w:id="69"/>
      <w:bookmarkEnd w:id="70"/>
      <w:bookmarkEnd w:id="71"/>
      <w:bookmarkEnd w:id="72"/>
    </w:p>
    <w:tbl>
      <w:tblPr>
        <w:tblStyle w:val="TableGrid"/>
        <w:tblW w:w="10598" w:type="dxa"/>
        <w:tblInd w:w="-284" w:type="dxa"/>
        <w:tblBorders>
          <w:top w:val="none" w:sz="0" w:space="0" w:color="auto"/>
          <w:left w:val="none" w:sz="0" w:space="0" w:color="auto"/>
          <w:bottom w:val="single" w:sz="12" w:space="0" w:color="AB054B"/>
          <w:right w:val="none" w:sz="0" w:space="0" w:color="auto"/>
          <w:insideH w:val="none" w:sz="0" w:space="0" w:color="auto"/>
          <w:insideV w:val="none" w:sz="0" w:space="0" w:color="auto"/>
        </w:tblBorders>
        <w:tblLook w:val="04A0" w:firstRow="1" w:lastRow="0" w:firstColumn="1" w:lastColumn="0" w:noHBand="0" w:noVBand="1"/>
      </w:tblPr>
      <w:tblGrid>
        <w:gridCol w:w="10598"/>
      </w:tblGrid>
      <w:tr w:rsidR="00EB0578" w14:paraId="32263137" w14:textId="77777777" w:rsidTr="00E10163">
        <w:trPr>
          <w:trHeight w:val="4723"/>
        </w:trPr>
        <w:tc>
          <w:tcPr>
            <w:tcW w:w="10598" w:type="dxa"/>
            <w:tcBorders>
              <w:top w:val="nil"/>
              <w:bottom w:val="single" w:sz="4" w:space="0" w:color="AB054B"/>
            </w:tcBorders>
            <w:vAlign w:val="center"/>
          </w:tcPr>
          <w:p w14:paraId="083A7E1E" w14:textId="77777777" w:rsidR="00EB0578" w:rsidRPr="00EC6C51" w:rsidRDefault="00EB0578" w:rsidP="00E10163">
            <w:pPr>
              <w:spacing w:after="120"/>
              <w:rPr>
                <w:rFonts w:eastAsia="Cambria"/>
                <w:b/>
                <w:color w:val="FFFFFF" w:themeColor="text1"/>
              </w:rPr>
            </w:pPr>
            <w:bookmarkStart w:id="73" w:name="_Toc415049804"/>
            <w:bookmarkStart w:id="74" w:name="_Toc415050356"/>
            <w:bookmarkStart w:id="75" w:name="_Toc441671814"/>
            <w:bookmarkStart w:id="76" w:name="_Toc441672102"/>
            <w:bookmarkStart w:id="77" w:name="_Toc442168889"/>
            <w:r w:rsidRPr="00EC6C51">
              <w:rPr>
                <w:rFonts w:eastAsia="Cambria"/>
                <w:b/>
                <w:color w:val="AB054B"/>
                <w:sz w:val="28"/>
                <w:szCs w:val="24"/>
              </w:rPr>
              <w:t>Iain MacKenzie</w:t>
            </w:r>
            <w:r w:rsidRPr="00EC6C51">
              <w:rPr>
                <w:rFonts w:eastAsia="Cambria"/>
                <w:b/>
                <w:sz w:val="28"/>
                <w:szCs w:val="24"/>
              </w:rPr>
              <w:t xml:space="preserve"> </w:t>
            </w:r>
            <w:r w:rsidRPr="00B4291C">
              <w:rPr>
                <w:rFonts w:eastAsia="Cambria"/>
                <w:b/>
                <w:sz w:val="24"/>
                <w:szCs w:val="24"/>
              </w:rPr>
              <w:t>AFSM</w:t>
            </w:r>
            <w:r>
              <w:rPr>
                <w:rFonts w:eastAsia="Cambria"/>
                <w:b/>
                <w:sz w:val="24"/>
                <w:szCs w:val="24"/>
              </w:rPr>
              <w:t>. MLshipMgt (Policing)</w:t>
            </w:r>
            <w:r w:rsidRPr="00B4291C">
              <w:rPr>
                <w:rFonts w:eastAsia="Cambria"/>
                <w:b/>
                <w:color w:val="FFFFFF" w:themeColor="text1"/>
                <w:sz w:val="24"/>
                <w:szCs w:val="24"/>
              </w:rPr>
              <w:t>A</w:t>
            </w:r>
            <w:r w:rsidRPr="00EC6C51">
              <w:rPr>
                <w:rFonts w:eastAsia="Cambria"/>
                <w:b/>
                <w:color w:val="FFFFFF" w:themeColor="text1"/>
                <w:sz w:val="24"/>
                <w:szCs w:val="24"/>
              </w:rPr>
              <w:t>FSM. Policing)</w:t>
            </w:r>
            <w:r w:rsidRPr="00EC6C51">
              <w:rPr>
                <w:rFonts w:eastAsia="Cambria"/>
                <w:b/>
                <w:color w:val="FFFFFF" w:themeColor="text1"/>
              </w:rPr>
              <w:t xml:space="preserve"> </w:t>
            </w:r>
          </w:p>
          <w:p w14:paraId="470500EA" w14:textId="77777777" w:rsidR="00EB0578" w:rsidRPr="00826FF3" w:rsidRDefault="00EB0578" w:rsidP="00E10163">
            <w:pPr>
              <w:spacing w:after="120"/>
              <w:rPr>
                <w:rFonts w:eastAsia="Cambria"/>
                <w:b/>
                <w:sz w:val="24"/>
                <w:szCs w:val="24"/>
              </w:rPr>
            </w:pPr>
            <w:r w:rsidRPr="00826FF3">
              <w:rPr>
                <w:rFonts w:eastAsia="Cambria"/>
                <w:b/>
                <w:sz w:val="24"/>
                <w:szCs w:val="24"/>
              </w:rPr>
              <w:t xml:space="preserve">Inspector-General </w:t>
            </w:r>
            <w:r w:rsidR="00E53F7E">
              <w:rPr>
                <w:rFonts w:eastAsia="Cambria"/>
                <w:b/>
                <w:sz w:val="24"/>
                <w:szCs w:val="24"/>
              </w:rPr>
              <w:t xml:space="preserve">of </w:t>
            </w:r>
            <w:r w:rsidRPr="00826FF3">
              <w:rPr>
                <w:rFonts w:eastAsia="Cambria"/>
                <w:b/>
                <w:sz w:val="24"/>
                <w:szCs w:val="24"/>
              </w:rPr>
              <w:t>Emergency Management</w:t>
            </w:r>
          </w:p>
          <w:p w14:paraId="2600FDCE" w14:textId="6627ED18" w:rsidR="00EB0578" w:rsidRPr="00826FF3" w:rsidRDefault="00EB0578" w:rsidP="00063928">
            <w:pPr>
              <w:spacing w:after="120"/>
              <w:rPr>
                <w:rFonts w:eastAsia="Cambria"/>
              </w:rPr>
            </w:pPr>
            <w:r w:rsidRPr="00826FF3">
              <w:rPr>
                <w:rFonts w:eastAsia="Cambria"/>
              </w:rPr>
              <w:t xml:space="preserve">The Inspector-General </w:t>
            </w:r>
            <w:r w:rsidR="00E53F7E">
              <w:rPr>
                <w:rFonts w:eastAsia="Cambria"/>
              </w:rPr>
              <w:t xml:space="preserve">of </w:t>
            </w:r>
            <w:r w:rsidRPr="00826FF3">
              <w:rPr>
                <w:rFonts w:eastAsia="Cambria"/>
              </w:rPr>
              <w:t xml:space="preserve">Emergency Management is responsible for leading and managing the Office to provide assurance and advice to enable confidence in Queensland’s </w:t>
            </w:r>
            <w:r w:rsidR="00601BB3">
              <w:rPr>
                <w:rFonts w:eastAsia="Cambria"/>
              </w:rPr>
              <w:t xml:space="preserve">disaster and </w:t>
            </w:r>
            <w:r w:rsidRPr="00826FF3">
              <w:rPr>
                <w:rFonts w:eastAsia="Cambria"/>
              </w:rPr>
              <w:t xml:space="preserve">emergency management arrangements. </w:t>
            </w:r>
          </w:p>
          <w:p w14:paraId="0F1597CA" w14:textId="77777777" w:rsidR="00EB0578" w:rsidRPr="00826FF3" w:rsidRDefault="00EB0578" w:rsidP="00063928">
            <w:pPr>
              <w:spacing w:after="120"/>
              <w:rPr>
                <w:rFonts w:eastAsia="Cambria"/>
              </w:rPr>
            </w:pPr>
            <w:r w:rsidRPr="00826FF3">
              <w:rPr>
                <w:rFonts w:eastAsia="Cambria"/>
              </w:rPr>
              <w:t>The Office regularly reviews and assesses the effectiveness of disaster management by local, district and state disaster management groups, including reviewing disaster management plans, regularly reviewing and assessing entities against the Standard, working with agencies to improve Queensland’s disaster management arrangements, and identifying opportunities for cooperative partnerships to improve disaster management outcomes.</w:t>
            </w:r>
          </w:p>
          <w:p w14:paraId="4A6CCC97" w14:textId="77777777" w:rsidR="00EB0578" w:rsidRDefault="00EB0578" w:rsidP="00063928">
            <w:pPr>
              <w:pStyle w:val="BodyText"/>
              <w:spacing w:after="120"/>
              <w:rPr>
                <w:rFonts w:eastAsia="Cambria"/>
              </w:rPr>
            </w:pPr>
            <w:r>
              <w:rPr>
                <w:rFonts w:eastAsia="Cambria"/>
              </w:rPr>
              <w:t xml:space="preserve">Prior to Iain’s appointment as Inspector-General </w:t>
            </w:r>
            <w:r w:rsidR="00E53F7E">
              <w:rPr>
                <w:rFonts w:eastAsia="Cambria"/>
              </w:rPr>
              <w:t xml:space="preserve">of </w:t>
            </w:r>
            <w:r>
              <w:rPr>
                <w:rFonts w:eastAsia="Cambria"/>
              </w:rPr>
              <w:t>Emergency Management, h</w:t>
            </w:r>
            <w:r w:rsidRPr="00826FF3">
              <w:rPr>
                <w:rFonts w:eastAsia="Cambria"/>
              </w:rPr>
              <w:t>e was the</w:t>
            </w:r>
            <w:r w:rsidRPr="00826FF3">
              <w:rPr>
                <w:rFonts w:eastAsia="Cambria"/>
                <w:spacing w:val="-23"/>
              </w:rPr>
              <w:t xml:space="preserve"> </w:t>
            </w:r>
            <w:r w:rsidRPr="00826FF3">
              <w:rPr>
                <w:rFonts w:eastAsia="Cambria"/>
              </w:rPr>
              <w:t xml:space="preserve">Deputy Commissioner of the former Queensland Fire and Rescue Service and served </w:t>
            </w:r>
            <w:r>
              <w:rPr>
                <w:rFonts w:eastAsia="Cambria"/>
              </w:rPr>
              <w:t xml:space="preserve">in the fire service for </w:t>
            </w:r>
            <w:r w:rsidRPr="00826FF3">
              <w:rPr>
                <w:rFonts w:eastAsia="Cambria"/>
              </w:rPr>
              <w:t>over 32 years. Iain holds a Master</w:t>
            </w:r>
            <w:r>
              <w:rPr>
                <w:rFonts w:eastAsia="Cambria"/>
              </w:rPr>
              <w:t>s</w:t>
            </w:r>
            <w:r w:rsidRPr="00826FF3">
              <w:rPr>
                <w:rFonts w:eastAsia="Cambria"/>
              </w:rPr>
              <w:t xml:space="preserve"> Degree in Leadership and Management, is a graduate of the</w:t>
            </w:r>
            <w:r w:rsidRPr="00826FF3">
              <w:rPr>
                <w:rFonts w:eastAsia="Cambria"/>
                <w:spacing w:val="-1"/>
              </w:rPr>
              <w:t xml:space="preserve"> </w:t>
            </w:r>
            <w:r w:rsidRPr="00826FF3">
              <w:rPr>
                <w:rFonts w:eastAsia="Cambria"/>
              </w:rPr>
              <w:t>Institute of Fire Engineers and has attended the United States National Fire Academy</w:t>
            </w:r>
            <w:r w:rsidRPr="00826FF3">
              <w:rPr>
                <w:rFonts w:eastAsia="Cambria"/>
                <w:spacing w:val="-30"/>
              </w:rPr>
              <w:t xml:space="preserve"> </w:t>
            </w:r>
            <w:r w:rsidRPr="00826FF3">
              <w:rPr>
                <w:rFonts w:eastAsia="Cambria"/>
              </w:rPr>
              <w:t>Executive Fire Officer Program. Iain was awarded the Australian Fire Service Medal in</w:t>
            </w:r>
            <w:r w:rsidRPr="00826FF3">
              <w:rPr>
                <w:rFonts w:eastAsia="Cambria"/>
                <w:spacing w:val="-31"/>
              </w:rPr>
              <w:t xml:space="preserve"> </w:t>
            </w:r>
            <w:r w:rsidRPr="00826FF3">
              <w:rPr>
                <w:rFonts w:eastAsia="Cambria"/>
              </w:rPr>
              <w:t>2006.</w:t>
            </w:r>
          </w:p>
          <w:p w14:paraId="4AF19D23" w14:textId="77777777" w:rsidR="00EB0578" w:rsidRPr="00A826A1" w:rsidRDefault="00EB0578" w:rsidP="00E10163">
            <w:pPr>
              <w:pStyle w:val="BodyText"/>
              <w:rPr>
                <w:rStyle w:val="Style1Char"/>
              </w:rPr>
            </w:pPr>
          </w:p>
        </w:tc>
      </w:tr>
      <w:tr w:rsidR="00EB0578" w14:paraId="261F2FCD" w14:textId="77777777" w:rsidTr="00E10163">
        <w:trPr>
          <w:trHeight w:val="2538"/>
        </w:trPr>
        <w:tc>
          <w:tcPr>
            <w:tcW w:w="10598" w:type="dxa"/>
            <w:tcBorders>
              <w:top w:val="single" w:sz="4" w:space="0" w:color="AB054B"/>
              <w:bottom w:val="single" w:sz="4" w:space="0" w:color="AB054B"/>
            </w:tcBorders>
            <w:vAlign w:val="center"/>
          </w:tcPr>
          <w:p w14:paraId="7E3ADB3A" w14:textId="77777777" w:rsidR="00EB0578" w:rsidRPr="00383C07" w:rsidRDefault="00EB0578" w:rsidP="00E10163">
            <w:pPr>
              <w:pStyle w:val="BodyText"/>
              <w:rPr>
                <w:rFonts w:eastAsia="Arial"/>
                <w:b/>
                <w:sz w:val="28"/>
              </w:rPr>
            </w:pPr>
            <w:r w:rsidRPr="00383C07">
              <w:rPr>
                <w:b/>
                <w:color w:val="AB054B"/>
                <w:sz w:val="28"/>
              </w:rPr>
              <w:t>Mike Shapland</w:t>
            </w:r>
            <w:r w:rsidRPr="00383C07">
              <w:rPr>
                <w:b/>
                <w:sz w:val="28"/>
              </w:rPr>
              <w:t xml:space="preserve"> </w:t>
            </w:r>
            <w:r w:rsidRPr="00383C07">
              <w:rPr>
                <w:b/>
                <w:sz w:val="24"/>
                <w:szCs w:val="24"/>
              </w:rPr>
              <w:t>MBE</w:t>
            </w:r>
          </w:p>
          <w:p w14:paraId="32F92E84" w14:textId="77777777" w:rsidR="00EB0578" w:rsidRPr="00826FF3" w:rsidRDefault="00EB0578" w:rsidP="00E10163">
            <w:pPr>
              <w:spacing w:after="120"/>
              <w:rPr>
                <w:rFonts w:eastAsia="Cambria"/>
                <w:b/>
                <w:sz w:val="24"/>
                <w:szCs w:val="24"/>
              </w:rPr>
            </w:pPr>
            <w:r w:rsidRPr="00826FF3">
              <w:rPr>
                <w:rFonts w:eastAsia="Cambria"/>
                <w:b/>
                <w:sz w:val="24"/>
                <w:szCs w:val="24"/>
              </w:rPr>
              <w:t>Director, Interoperability and Innovation</w:t>
            </w:r>
          </w:p>
          <w:p w14:paraId="1C7A4DE7" w14:textId="77777777" w:rsidR="00EB0578" w:rsidRPr="00826FF3" w:rsidRDefault="00EB0578" w:rsidP="00063928">
            <w:pPr>
              <w:spacing w:after="120"/>
              <w:rPr>
                <w:rFonts w:eastAsia="Arial"/>
                <w:b/>
                <w:bCs/>
                <w:i/>
              </w:rPr>
            </w:pPr>
            <w:r w:rsidRPr="00826FF3">
              <w:rPr>
                <w:rFonts w:eastAsia="Cambria"/>
              </w:rPr>
              <w:t xml:space="preserve">The Director, Interoperability and Innovation </w:t>
            </w:r>
            <w:r w:rsidR="00B9424E">
              <w:rPr>
                <w:rFonts w:eastAsia="Cambria"/>
              </w:rPr>
              <w:t>leads</w:t>
            </w:r>
            <w:r w:rsidR="00B9424E" w:rsidRPr="00826FF3">
              <w:rPr>
                <w:rFonts w:eastAsia="Cambria"/>
              </w:rPr>
              <w:t xml:space="preserve"> </w:t>
            </w:r>
            <w:r w:rsidR="00B9424E">
              <w:rPr>
                <w:rFonts w:eastAsia="Cambria"/>
              </w:rPr>
              <w:t xml:space="preserve">review and </w:t>
            </w:r>
            <w:r w:rsidR="00B9424E" w:rsidRPr="00826FF3">
              <w:rPr>
                <w:rFonts w:eastAsia="Cambria"/>
              </w:rPr>
              <w:t>ass</w:t>
            </w:r>
            <w:r w:rsidR="00B9424E">
              <w:rPr>
                <w:rFonts w:eastAsia="Cambria"/>
              </w:rPr>
              <w:t>urance</w:t>
            </w:r>
            <w:r w:rsidR="00B9424E" w:rsidRPr="00826FF3">
              <w:rPr>
                <w:rFonts w:eastAsia="Cambria"/>
              </w:rPr>
              <w:t xml:space="preserve"> </w:t>
            </w:r>
            <w:r w:rsidR="00B9424E">
              <w:rPr>
                <w:rFonts w:eastAsia="Cambria"/>
              </w:rPr>
              <w:t xml:space="preserve">activities, and </w:t>
            </w:r>
            <w:r w:rsidRPr="00826FF3">
              <w:rPr>
                <w:rFonts w:eastAsia="Cambria"/>
              </w:rPr>
              <w:t>facilitates programs and solutions designed to help the Office and agencies deliver bette</w:t>
            </w:r>
            <w:r w:rsidR="00B9424E">
              <w:rPr>
                <w:rFonts w:eastAsia="Cambria"/>
              </w:rPr>
              <w:t>r disaster management outcomes</w:t>
            </w:r>
            <w:r w:rsidRPr="00826FF3">
              <w:rPr>
                <w:rFonts w:eastAsia="Cambria"/>
              </w:rPr>
              <w:t>. The role represents the Office at innovation forums and promotes interoperability across the sector.</w:t>
            </w:r>
          </w:p>
          <w:p w14:paraId="1B0B697E" w14:textId="77777777" w:rsidR="00EB0578" w:rsidRDefault="00EB0578" w:rsidP="00063928">
            <w:pPr>
              <w:pStyle w:val="BodyText"/>
              <w:spacing w:after="120"/>
              <w:rPr>
                <w:rFonts w:eastAsia="Arial"/>
              </w:rPr>
            </w:pPr>
            <w:r w:rsidRPr="00826FF3">
              <w:rPr>
                <w:rFonts w:eastAsia="Arial"/>
              </w:rPr>
              <w:t>Mike is a graduate from the Royal Military Academy, Sandhurst, the British Army’s Technical</w:t>
            </w:r>
            <w:r w:rsidRPr="00826FF3">
              <w:rPr>
                <w:rFonts w:eastAsia="Arial"/>
                <w:spacing w:val="-30"/>
              </w:rPr>
              <w:t xml:space="preserve"> </w:t>
            </w:r>
            <w:r w:rsidRPr="00826FF3">
              <w:rPr>
                <w:rFonts w:eastAsia="Arial"/>
              </w:rPr>
              <w:t>and</w:t>
            </w:r>
            <w:r w:rsidRPr="00826FF3">
              <w:rPr>
                <w:rFonts w:eastAsia="Arial"/>
                <w:spacing w:val="-1"/>
              </w:rPr>
              <w:t xml:space="preserve"> </w:t>
            </w:r>
            <w:r w:rsidRPr="00826FF3">
              <w:rPr>
                <w:rFonts w:eastAsia="Arial"/>
              </w:rPr>
              <w:t>General Staff courses and Griffith University’s Master of Business Administration</w:t>
            </w:r>
            <w:r w:rsidRPr="00826FF3">
              <w:rPr>
                <w:rFonts w:eastAsia="Arial"/>
                <w:spacing w:val="-36"/>
              </w:rPr>
              <w:t xml:space="preserve"> </w:t>
            </w:r>
            <w:r w:rsidRPr="00826FF3">
              <w:rPr>
                <w:rFonts w:eastAsia="Arial"/>
              </w:rPr>
              <w:t>program. Mike was awarded Member of the Order of the British Empire in the United Kingdom’s 1997 New Year’s Honours list.</w:t>
            </w:r>
          </w:p>
          <w:p w14:paraId="1FDAC0B2" w14:textId="77777777" w:rsidR="00EB0578" w:rsidRPr="008B70CD" w:rsidRDefault="00EB0578" w:rsidP="00E10163">
            <w:pPr>
              <w:pStyle w:val="BodyText"/>
              <w:spacing w:after="120"/>
              <w:rPr>
                <w:rStyle w:val="Style1Char"/>
              </w:rPr>
            </w:pPr>
          </w:p>
        </w:tc>
      </w:tr>
      <w:tr w:rsidR="00EB0578" w14:paraId="7BE5B5EE" w14:textId="77777777" w:rsidTr="00E10163">
        <w:trPr>
          <w:trHeight w:val="2598"/>
        </w:trPr>
        <w:tc>
          <w:tcPr>
            <w:tcW w:w="10598" w:type="dxa"/>
            <w:tcBorders>
              <w:top w:val="single" w:sz="4" w:space="0" w:color="AB054B"/>
              <w:bottom w:val="single" w:sz="4" w:space="0" w:color="AB054B"/>
            </w:tcBorders>
            <w:vAlign w:val="center"/>
          </w:tcPr>
          <w:p w14:paraId="15799BB9" w14:textId="77777777" w:rsidR="00EB0578" w:rsidRPr="00EC6C51" w:rsidRDefault="00EB0578" w:rsidP="00E10163">
            <w:pPr>
              <w:spacing w:after="120"/>
              <w:rPr>
                <w:rFonts w:eastAsia="Arial"/>
                <w:b/>
                <w:color w:val="AB054B"/>
                <w:sz w:val="28"/>
              </w:rPr>
            </w:pPr>
            <w:r>
              <w:rPr>
                <w:rFonts w:eastAsia="Cambria"/>
                <w:b/>
                <w:color w:val="AB054B"/>
                <w:sz w:val="28"/>
              </w:rPr>
              <w:t>Sarah March</w:t>
            </w:r>
          </w:p>
          <w:p w14:paraId="7557D049" w14:textId="77777777" w:rsidR="00EB0578" w:rsidRPr="00826FF3" w:rsidRDefault="00EB0578" w:rsidP="00E10163">
            <w:pPr>
              <w:spacing w:after="120"/>
              <w:rPr>
                <w:rFonts w:eastAsia="Arial"/>
                <w:b/>
                <w:sz w:val="24"/>
              </w:rPr>
            </w:pPr>
            <w:r w:rsidRPr="00826FF3">
              <w:rPr>
                <w:rFonts w:eastAsia="Cambria"/>
                <w:b/>
                <w:sz w:val="24"/>
              </w:rPr>
              <w:t>Director, Performance, Reporting and Policy Analysis</w:t>
            </w:r>
          </w:p>
          <w:p w14:paraId="44DE76AE" w14:textId="77777777" w:rsidR="00EB0578" w:rsidRPr="00826FF3" w:rsidRDefault="00EB0578" w:rsidP="00E10163">
            <w:pPr>
              <w:spacing w:after="120"/>
              <w:rPr>
                <w:rFonts w:eastAsia="Cambria"/>
              </w:rPr>
            </w:pPr>
            <w:r w:rsidRPr="00826FF3">
              <w:rPr>
                <w:rFonts w:eastAsia="Cambria"/>
              </w:rPr>
              <w:t xml:space="preserve">The Director, Performance, Reporting and Policy Analysis is responsible for developing and coordinating internal strategy, planning and governance arrangements for the Office. The role also acts as a liaison point with PSBA and other agencies </w:t>
            </w:r>
            <w:r w:rsidR="00401A04">
              <w:rPr>
                <w:rFonts w:eastAsia="Cambria"/>
              </w:rPr>
              <w:t xml:space="preserve">in relation to external policy and governance, </w:t>
            </w:r>
            <w:r w:rsidRPr="00826FF3">
              <w:rPr>
                <w:rFonts w:eastAsia="Cambria"/>
              </w:rPr>
              <w:t>and provides policy advice to the Inspector-General</w:t>
            </w:r>
            <w:r>
              <w:rPr>
                <w:rFonts w:eastAsia="Cambria"/>
              </w:rPr>
              <w:t xml:space="preserve"> </w:t>
            </w:r>
            <w:r w:rsidR="00E53F7E">
              <w:rPr>
                <w:rFonts w:eastAsia="Cambria"/>
              </w:rPr>
              <w:t xml:space="preserve">of </w:t>
            </w:r>
            <w:r>
              <w:rPr>
                <w:rFonts w:eastAsia="Cambria"/>
              </w:rPr>
              <w:t>Emergency Management</w:t>
            </w:r>
            <w:r w:rsidRPr="00826FF3">
              <w:rPr>
                <w:rFonts w:eastAsia="Cambria"/>
              </w:rPr>
              <w:t xml:space="preserve"> and the </w:t>
            </w:r>
            <w:r w:rsidR="00E53F7E">
              <w:rPr>
                <w:rFonts w:eastAsia="Cambria"/>
              </w:rPr>
              <w:t xml:space="preserve">Office’s </w:t>
            </w:r>
            <w:r w:rsidRPr="00826FF3">
              <w:rPr>
                <w:rFonts w:eastAsia="Cambria"/>
              </w:rPr>
              <w:t>Executive Management Committee</w:t>
            </w:r>
            <w:r>
              <w:rPr>
                <w:rFonts w:eastAsia="Cambria"/>
              </w:rPr>
              <w:t xml:space="preserve"> (EMC)</w:t>
            </w:r>
            <w:r w:rsidRPr="00826FF3">
              <w:rPr>
                <w:rFonts w:eastAsia="Cambria"/>
              </w:rPr>
              <w:t>.</w:t>
            </w:r>
          </w:p>
          <w:p w14:paraId="257BDC49" w14:textId="77777777" w:rsidR="00EB0578" w:rsidRDefault="00EB0578" w:rsidP="00E10163">
            <w:pPr>
              <w:pStyle w:val="BodyText"/>
              <w:spacing w:after="120"/>
              <w:rPr>
                <w:rFonts w:eastAsia="Cambria"/>
              </w:rPr>
            </w:pPr>
            <w:r w:rsidRPr="00826FF3">
              <w:rPr>
                <w:rFonts w:eastAsia="Cambria"/>
              </w:rPr>
              <w:t>Sarah holds a Bachelor of Arts (Psychology) and Post Graduate qualifications in Psychology.</w:t>
            </w:r>
          </w:p>
          <w:p w14:paraId="1BBEA5A7" w14:textId="77777777" w:rsidR="00EB0578" w:rsidRPr="00A826A1" w:rsidRDefault="00EB0578" w:rsidP="00E10163">
            <w:pPr>
              <w:pStyle w:val="BodyText"/>
              <w:spacing w:after="120"/>
              <w:rPr>
                <w:rStyle w:val="Style1Char"/>
              </w:rPr>
            </w:pPr>
          </w:p>
        </w:tc>
      </w:tr>
      <w:bookmarkEnd w:id="73"/>
      <w:bookmarkEnd w:id="74"/>
      <w:bookmarkEnd w:id="75"/>
      <w:bookmarkEnd w:id="76"/>
      <w:bookmarkEnd w:id="77"/>
    </w:tbl>
    <w:p w14:paraId="3681697E" w14:textId="77777777" w:rsidR="00401A04" w:rsidRDefault="00401A04"/>
    <w:p w14:paraId="1DB8CE55" w14:textId="77777777" w:rsidR="00401A04" w:rsidRDefault="00401A04"/>
    <w:tbl>
      <w:tblPr>
        <w:tblStyle w:val="TableGrid"/>
        <w:tblW w:w="10740" w:type="dxa"/>
        <w:tblInd w:w="-426" w:type="dxa"/>
        <w:tblBorders>
          <w:top w:val="none" w:sz="0" w:space="0" w:color="auto"/>
          <w:left w:val="none" w:sz="0" w:space="0" w:color="auto"/>
          <w:bottom w:val="single" w:sz="12" w:space="0" w:color="AB054B"/>
          <w:right w:val="none" w:sz="0" w:space="0" w:color="auto"/>
          <w:insideH w:val="none" w:sz="0" w:space="0" w:color="auto"/>
          <w:insideV w:val="none" w:sz="0" w:space="0" w:color="auto"/>
        </w:tblBorders>
        <w:tblLook w:val="04A0" w:firstRow="1" w:lastRow="0" w:firstColumn="1" w:lastColumn="0" w:noHBand="0" w:noVBand="1"/>
      </w:tblPr>
      <w:tblGrid>
        <w:gridCol w:w="10740"/>
      </w:tblGrid>
      <w:tr w:rsidR="00401A04" w:rsidRPr="00A826A1" w14:paraId="472A61E4" w14:textId="77777777" w:rsidTr="004148ED">
        <w:trPr>
          <w:trHeight w:val="1691"/>
        </w:trPr>
        <w:tc>
          <w:tcPr>
            <w:tcW w:w="10740" w:type="dxa"/>
            <w:tcBorders>
              <w:top w:val="nil"/>
              <w:bottom w:val="single" w:sz="4" w:space="0" w:color="AB054B"/>
            </w:tcBorders>
            <w:vAlign w:val="center"/>
          </w:tcPr>
          <w:p w14:paraId="55D05843" w14:textId="77777777" w:rsidR="00401A04" w:rsidRPr="00383C07" w:rsidRDefault="00401A04" w:rsidP="00401A04">
            <w:pPr>
              <w:pStyle w:val="BodyText"/>
              <w:spacing w:after="120"/>
              <w:rPr>
                <w:rFonts w:eastAsia="Arial"/>
                <w:b/>
                <w:color w:val="AB054B"/>
                <w:sz w:val="28"/>
              </w:rPr>
            </w:pPr>
            <w:r w:rsidRPr="00383C07">
              <w:rPr>
                <w:b/>
                <w:color w:val="AB054B"/>
                <w:sz w:val="28"/>
              </w:rPr>
              <w:lastRenderedPageBreak/>
              <w:t>Rowena Richardson</w:t>
            </w:r>
          </w:p>
          <w:p w14:paraId="34D6E3D3" w14:textId="77777777" w:rsidR="00401A04" w:rsidRPr="00826FF3" w:rsidRDefault="00401A04" w:rsidP="00401A04">
            <w:pPr>
              <w:spacing w:after="120"/>
              <w:rPr>
                <w:rFonts w:eastAsia="Arial"/>
                <w:b/>
                <w:sz w:val="24"/>
              </w:rPr>
            </w:pPr>
            <w:r w:rsidRPr="00826FF3">
              <w:rPr>
                <w:rFonts w:eastAsia="Cambria"/>
                <w:b/>
                <w:sz w:val="24"/>
              </w:rPr>
              <w:t>Director, Standards, Best Practice and Evaluation</w:t>
            </w:r>
          </w:p>
          <w:p w14:paraId="32EED531" w14:textId="5CA32D8A" w:rsidR="00401A04" w:rsidRPr="00826FF3" w:rsidRDefault="00401A04" w:rsidP="00401A04">
            <w:pPr>
              <w:spacing w:after="120"/>
              <w:rPr>
                <w:rFonts w:eastAsia="Cambria"/>
              </w:rPr>
            </w:pPr>
            <w:r w:rsidRPr="00826FF3">
              <w:rPr>
                <w:rFonts w:eastAsia="Cambria"/>
              </w:rPr>
              <w:t xml:space="preserve">The Director, Standards, Best Practice and Evaluation </w:t>
            </w:r>
            <w:r w:rsidR="00B9424E">
              <w:rPr>
                <w:rFonts w:eastAsia="Cambria"/>
              </w:rPr>
              <w:t xml:space="preserve">leads review and assurance activities, and is responsible for </w:t>
            </w:r>
            <w:r w:rsidRPr="00826FF3">
              <w:rPr>
                <w:rFonts w:eastAsia="Cambria"/>
              </w:rPr>
              <w:t>the</w:t>
            </w:r>
            <w:r>
              <w:rPr>
                <w:rFonts w:eastAsia="Cambria"/>
              </w:rPr>
              <w:t xml:space="preserve"> management and performance of the </w:t>
            </w:r>
            <w:r w:rsidR="006771D5" w:rsidRPr="007A21CD">
              <w:rPr>
                <w:rFonts w:eastAsia="Cambria"/>
                <w:i/>
              </w:rPr>
              <w:t xml:space="preserve">Emergency Management and Assurance </w:t>
            </w:r>
            <w:r w:rsidRPr="007A21CD">
              <w:rPr>
                <w:rFonts w:eastAsia="Cambria"/>
                <w:i/>
              </w:rPr>
              <w:t>Fr</w:t>
            </w:r>
            <w:r w:rsidR="00A53AB7" w:rsidRPr="007A21CD">
              <w:rPr>
                <w:rFonts w:eastAsia="Cambria"/>
                <w:i/>
              </w:rPr>
              <w:t>amework</w:t>
            </w:r>
            <w:r w:rsidR="00A53AB7">
              <w:rPr>
                <w:rFonts w:eastAsia="Cambria"/>
              </w:rPr>
              <w:t xml:space="preserve">, including the Standard, </w:t>
            </w:r>
            <w:r>
              <w:rPr>
                <w:rFonts w:eastAsia="Cambria"/>
              </w:rPr>
              <w:t xml:space="preserve">and </w:t>
            </w:r>
            <w:r w:rsidR="00A53AB7">
              <w:rPr>
                <w:rFonts w:eastAsia="Cambria"/>
              </w:rPr>
              <w:t xml:space="preserve">the </w:t>
            </w:r>
            <w:r w:rsidR="006771D5">
              <w:rPr>
                <w:rFonts w:eastAsia="Cambria"/>
              </w:rPr>
              <w:t>AEDP</w:t>
            </w:r>
            <w:r w:rsidR="00A53AB7">
              <w:rPr>
                <w:rFonts w:eastAsia="Cambria"/>
              </w:rPr>
              <w:t xml:space="preserve">. This role </w:t>
            </w:r>
            <w:r w:rsidR="00B17D75">
              <w:rPr>
                <w:rFonts w:eastAsia="Cambria"/>
              </w:rPr>
              <w:t xml:space="preserve">also has oversight </w:t>
            </w:r>
            <w:r w:rsidR="00A53AB7">
              <w:rPr>
                <w:rFonts w:eastAsia="Cambria"/>
              </w:rPr>
              <w:t xml:space="preserve">of </w:t>
            </w:r>
            <w:r w:rsidR="00B17D75">
              <w:rPr>
                <w:rFonts w:eastAsia="Cambria"/>
              </w:rPr>
              <w:t>the Lessons Management Program.</w:t>
            </w:r>
            <w:r w:rsidR="00E53F7E">
              <w:rPr>
                <w:rFonts w:eastAsia="Cambria"/>
              </w:rPr>
              <w:t xml:space="preserve"> </w:t>
            </w:r>
          </w:p>
          <w:p w14:paraId="0F7593D8" w14:textId="77777777" w:rsidR="00401A04" w:rsidRDefault="00401A04" w:rsidP="00401A04">
            <w:pPr>
              <w:pStyle w:val="BodyText"/>
              <w:spacing w:after="120"/>
              <w:rPr>
                <w:rFonts w:eastAsia="Cambria"/>
              </w:rPr>
            </w:pPr>
            <w:r w:rsidRPr="00826FF3">
              <w:rPr>
                <w:rFonts w:eastAsia="Cambria"/>
              </w:rPr>
              <w:t>Rowena has specific expertise in systems analysis and improvement, holds a Master of</w:t>
            </w:r>
            <w:r w:rsidRPr="00826FF3">
              <w:rPr>
                <w:rFonts w:eastAsia="Cambria"/>
                <w:spacing w:val="-33"/>
              </w:rPr>
              <w:t xml:space="preserve"> </w:t>
            </w:r>
            <w:r w:rsidRPr="00826FF3">
              <w:rPr>
                <w:rFonts w:eastAsia="Cambria"/>
              </w:rPr>
              <w:t>Health Administration, a Bachelor of Health Science and Post Graduate Certificates in Critical</w:t>
            </w:r>
            <w:r w:rsidRPr="00826FF3">
              <w:rPr>
                <w:rFonts w:eastAsia="Cambria"/>
                <w:spacing w:val="-18"/>
              </w:rPr>
              <w:t xml:space="preserve"> </w:t>
            </w:r>
            <w:r w:rsidRPr="00826FF3">
              <w:rPr>
                <w:rFonts w:eastAsia="Cambria"/>
              </w:rPr>
              <w:t>Care Nursing</w:t>
            </w:r>
            <w:r w:rsidR="00B17D75">
              <w:rPr>
                <w:rFonts w:eastAsia="Cambria"/>
              </w:rPr>
              <w:t>,</w:t>
            </w:r>
            <w:r w:rsidR="00A53AB7">
              <w:rPr>
                <w:rFonts w:eastAsia="Cambria"/>
              </w:rPr>
              <w:t xml:space="preserve"> </w:t>
            </w:r>
            <w:r w:rsidRPr="00826FF3">
              <w:rPr>
                <w:rFonts w:eastAsia="Cambria"/>
              </w:rPr>
              <w:t>Health</w:t>
            </w:r>
            <w:r w:rsidRPr="00826FF3">
              <w:rPr>
                <w:rFonts w:eastAsia="Cambria"/>
                <w:spacing w:val="-8"/>
              </w:rPr>
              <w:t xml:space="preserve"> </w:t>
            </w:r>
            <w:r w:rsidRPr="00826FF3">
              <w:rPr>
                <w:rFonts w:eastAsia="Cambria"/>
              </w:rPr>
              <w:t>Management</w:t>
            </w:r>
            <w:r w:rsidR="00B17D75">
              <w:rPr>
                <w:rFonts w:eastAsia="Cambria"/>
              </w:rPr>
              <w:t xml:space="preserve"> and Business</w:t>
            </w:r>
            <w:r w:rsidRPr="00826FF3">
              <w:rPr>
                <w:rFonts w:eastAsia="Cambria"/>
              </w:rPr>
              <w:t>.</w:t>
            </w:r>
          </w:p>
          <w:p w14:paraId="2CB56D2F" w14:textId="77777777" w:rsidR="00401A04" w:rsidRPr="00A826A1" w:rsidRDefault="00401A04" w:rsidP="00401A04">
            <w:pPr>
              <w:pStyle w:val="BodyText"/>
              <w:spacing w:after="120"/>
              <w:rPr>
                <w:rStyle w:val="Style1Char"/>
              </w:rPr>
            </w:pPr>
          </w:p>
        </w:tc>
      </w:tr>
      <w:tr w:rsidR="00401A04" w14:paraId="14158E1D" w14:textId="77777777" w:rsidTr="004148ED">
        <w:trPr>
          <w:trHeight w:val="1686"/>
        </w:trPr>
        <w:tc>
          <w:tcPr>
            <w:tcW w:w="10740" w:type="dxa"/>
            <w:tcBorders>
              <w:top w:val="single" w:sz="4" w:space="0" w:color="AB054B"/>
              <w:bottom w:val="single" w:sz="4" w:space="0" w:color="AB054B"/>
            </w:tcBorders>
            <w:vAlign w:val="center"/>
          </w:tcPr>
          <w:p w14:paraId="3FFA3C0C" w14:textId="77777777" w:rsidR="00401A04" w:rsidRPr="00383C07" w:rsidRDefault="00401A04" w:rsidP="00401A04">
            <w:pPr>
              <w:pStyle w:val="TableParagraph"/>
              <w:spacing w:before="120" w:after="120"/>
              <w:rPr>
                <w:rFonts w:ascii="Arial" w:eastAsia="Arial" w:hAnsi="Arial" w:cs="Arial"/>
                <w:color w:val="AB054B"/>
              </w:rPr>
            </w:pPr>
            <w:r w:rsidRPr="00383C07">
              <w:rPr>
                <w:rFonts w:ascii="Arial" w:eastAsiaTheme="minorHAnsi" w:hAnsi="Arial" w:cs="Arial"/>
                <w:b/>
                <w:color w:val="AB054B"/>
                <w:kern w:val="20"/>
                <w:sz w:val="28"/>
                <w:szCs w:val="20"/>
                <w:lang w:eastAsia="ja-JP"/>
              </w:rPr>
              <w:t>Phil Nickerson</w:t>
            </w:r>
          </w:p>
          <w:p w14:paraId="7DDE787D" w14:textId="77777777" w:rsidR="00401A04" w:rsidRPr="00826FF3" w:rsidRDefault="00401A04" w:rsidP="00401A04">
            <w:pPr>
              <w:spacing w:after="120"/>
              <w:rPr>
                <w:rFonts w:eastAsia="Cambria"/>
                <w:b/>
                <w:sz w:val="24"/>
                <w:szCs w:val="24"/>
              </w:rPr>
            </w:pPr>
            <w:r w:rsidRPr="00826FF3">
              <w:rPr>
                <w:rFonts w:eastAsia="Cambria"/>
                <w:b/>
                <w:sz w:val="24"/>
                <w:szCs w:val="24"/>
              </w:rPr>
              <w:t>Director, Community and Stakeholder Engagement</w:t>
            </w:r>
          </w:p>
          <w:p w14:paraId="5AC15556" w14:textId="77777777" w:rsidR="00401A04" w:rsidRPr="00826FF3" w:rsidRDefault="00401A04" w:rsidP="00401A04">
            <w:pPr>
              <w:spacing w:after="120"/>
              <w:rPr>
                <w:rFonts w:eastAsia="Cambria"/>
              </w:rPr>
            </w:pPr>
            <w:r w:rsidRPr="00826FF3">
              <w:rPr>
                <w:rFonts w:eastAsia="Cambria"/>
              </w:rPr>
              <w:t xml:space="preserve">The Director, Community and Stakeholder Engagement oversees the active engagement of </w:t>
            </w:r>
            <w:r w:rsidR="00254141" w:rsidRPr="00826FF3">
              <w:rPr>
                <w:rFonts w:eastAsia="Cambria"/>
              </w:rPr>
              <w:t xml:space="preserve">disaster management </w:t>
            </w:r>
            <w:r w:rsidRPr="00826FF3">
              <w:rPr>
                <w:rFonts w:eastAsia="Cambria"/>
              </w:rPr>
              <w:t>stakeholders</w:t>
            </w:r>
            <w:r w:rsidR="00B9424E">
              <w:rPr>
                <w:rFonts w:eastAsia="Cambria"/>
              </w:rPr>
              <w:t xml:space="preserve"> across a</w:t>
            </w:r>
            <w:r w:rsidR="00254141">
              <w:rPr>
                <w:rFonts w:eastAsia="Cambria"/>
              </w:rPr>
              <w:t xml:space="preserve">ll levels of government, </w:t>
            </w:r>
            <w:r w:rsidR="00A82C7D">
              <w:rPr>
                <w:rFonts w:eastAsia="Cambria"/>
              </w:rPr>
              <w:t>tertiary</w:t>
            </w:r>
            <w:r w:rsidR="00254141">
              <w:rPr>
                <w:rFonts w:eastAsia="Cambria"/>
              </w:rPr>
              <w:t xml:space="preserve"> and </w:t>
            </w:r>
            <w:r w:rsidRPr="00826FF3">
              <w:rPr>
                <w:rFonts w:eastAsia="Cambria"/>
              </w:rPr>
              <w:t>non-government organisations</w:t>
            </w:r>
            <w:r w:rsidR="00B9424E">
              <w:rPr>
                <w:rFonts w:eastAsia="Cambria"/>
              </w:rPr>
              <w:t>,</w:t>
            </w:r>
            <w:r w:rsidRPr="00826FF3">
              <w:rPr>
                <w:rFonts w:eastAsia="Cambria"/>
              </w:rPr>
              <w:t xml:space="preserve"> and the </w:t>
            </w:r>
            <w:r w:rsidR="00B9424E">
              <w:rPr>
                <w:rFonts w:eastAsia="Cambria"/>
              </w:rPr>
              <w:t>community</w:t>
            </w:r>
            <w:r w:rsidRPr="00826FF3">
              <w:rPr>
                <w:rFonts w:eastAsia="Cambria"/>
              </w:rPr>
              <w:t>. The role also provides strategic advice to the Inspector-General</w:t>
            </w:r>
            <w:r>
              <w:rPr>
                <w:rFonts w:eastAsia="Cambria"/>
              </w:rPr>
              <w:t xml:space="preserve"> </w:t>
            </w:r>
            <w:r w:rsidR="00254141">
              <w:rPr>
                <w:rFonts w:eastAsia="Cambria"/>
              </w:rPr>
              <w:t xml:space="preserve">of </w:t>
            </w:r>
            <w:r>
              <w:rPr>
                <w:rFonts w:eastAsia="Cambria"/>
              </w:rPr>
              <w:t>Emergency Management</w:t>
            </w:r>
            <w:r w:rsidRPr="00826FF3">
              <w:rPr>
                <w:rFonts w:eastAsia="Cambria"/>
              </w:rPr>
              <w:t xml:space="preserve"> and the </w:t>
            </w:r>
            <w:r w:rsidR="00B9424E">
              <w:rPr>
                <w:rFonts w:eastAsia="Cambria"/>
              </w:rPr>
              <w:t xml:space="preserve">Office’s </w:t>
            </w:r>
            <w:r>
              <w:rPr>
                <w:rFonts w:eastAsia="Cambria"/>
              </w:rPr>
              <w:t>EMC</w:t>
            </w:r>
            <w:r w:rsidRPr="00826FF3">
              <w:rPr>
                <w:rFonts w:eastAsia="Cambria"/>
              </w:rPr>
              <w:t xml:space="preserve"> regarding corporate communications, media relations and issues management.</w:t>
            </w:r>
          </w:p>
          <w:p w14:paraId="45F39CE2" w14:textId="77777777" w:rsidR="00401A04" w:rsidRDefault="00401A04" w:rsidP="00401A04">
            <w:pPr>
              <w:pStyle w:val="BodyText"/>
              <w:spacing w:after="120"/>
              <w:rPr>
                <w:rFonts w:eastAsia="Cambria"/>
              </w:rPr>
            </w:pPr>
            <w:r w:rsidRPr="00826FF3">
              <w:rPr>
                <w:rFonts w:eastAsia="Cambria"/>
              </w:rPr>
              <w:t>Phil holds a Bachelor of Business (Communications) and a Bachelor of Business (Accountancy).</w:t>
            </w:r>
          </w:p>
          <w:p w14:paraId="2DD65F5F" w14:textId="77777777" w:rsidR="00401A04" w:rsidRDefault="00401A04" w:rsidP="004148ED">
            <w:pPr>
              <w:pStyle w:val="BodyText"/>
              <w:spacing w:after="120"/>
            </w:pPr>
          </w:p>
        </w:tc>
      </w:tr>
    </w:tbl>
    <w:p w14:paraId="19F9B6C5" w14:textId="77777777" w:rsidR="00401A04" w:rsidRDefault="00401A04"/>
    <w:p w14:paraId="1BE55AF1" w14:textId="77777777" w:rsidR="00401A04" w:rsidRDefault="00401A04"/>
    <w:p w14:paraId="48DE8BF1" w14:textId="77777777" w:rsidR="00401A04" w:rsidRDefault="00401A04"/>
    <w:p w14:paraId="1CAB85D4" w14:textId="77777777" w:rsidR="00401A04" w:rsidRDefault="00401A04"/>
    <w:p w14:paraId="7B39D15B" w14:textId="77777777" w:rsidR="00401A04" w:rsidRDefault="00401A04"/>
    <w:p w14:paraId="74218ADD" w14:textId="77777777" w:rsidR="00401A04" w:rsidRDefault="00401A04"/>
    <w:p w14:paraId="45D93566" w14:textId="77777777" w:rsidR="004C6E70" w:rsidRDefault="004C6E70">
      <w:pPr>
        <w:rPr>
          <w:rFonts w:ascii="Arial Bold" w:eastAsia="Times New Roman" w:hAnsi="Arial Bold"/>
          <w:b/>
          <w:i/>
          <w:color w:val="AB054C"/>
          <w:sz w:val="36"/>
          <w14:ligatures w14:val="standardContextual"/>
        </w:rPr>
      </w:pPr>
      <w:r>
        <w:br w:type="page"/>
      </w:r>
    </w:p>
    <w:p w14:paraId="38E2604C" w14:textId="77777777" w:rsidR="00B4292B" w:rsidRPr="00EC6C51" w:rsidRDefault="00ED3E28" w:rsidP="003463C9">
      <w:pPr>
        <w:pStyle w:val="Heading2"/>
      </w:pPr>
      <w:bookmarkStart w:id="78" w:name="_Toc524519416"/>
      <w:r>
        <w:lastRenderedPageBreak/>
        <w:t>Committees</w:t>
      </w:r>
      <w:bookmarkEnd w:id="78"/>
      <w:r>
        <w:t xml:space="preserve"> </w:t>
      </w:r>
    </w:p>
    <w:p w14:paraId="5F952012" w14:textId="31E80FA7" w:rsidR="00B4292B" w:rsidRPr="00EC6C51" w:rsidRDefault="00B4292B" w:rsidP="00B4292B">
      <w:pPr>
        <w:ind w:left="-142"/>
        <w:rPr>
          <w:rFonts w:eastAsia="Cambria"/>
        </w:rPr>
      </w:pPr>
      <w:r w:rsidRPr="00EC6C51">
        <w:rPr>
          <w:rFonts w:eastAsia="Cambria"/>
        </w:rPr>
        <w:t xml:space="preserve">The Office governance structure comprises the </w:t>
      </w:r>
      <w:r>
        <w:rPr>
          <w:rFonts w:eastAsia="Cambria"/>
        </w:rPr>
        <w:t>E</w:t>
      </w:r>
      <w:r w:rsidR="00B753A9">
        <w:rPr>
          <w:rFonts w:eastAsia="Cambria"/>
        </w:rPr>
        <w:t>xec</w:t>
      </w:r>
      <w:r w:rsidR="002D3B0F">
        <w:rPr>
          <w:rFonts w:eastAsia="Cambria"/>
        </w:rPr>
        <w:t xml:space="preserve">utive Management Committee </w:t>
      </w:r>
      <w:r w:rsidRPr="00EC6C51">
        <w:rPr>
          <w:rFonts w:eastAsia="Cambria"/>
        </w:rPr>
        <w:t>and the Public Safety Portfolio Audit and Risk Committee.</w:t>
      </w:r>
    </w:p>
    <w:p w14:paraId="76FC31EB" w14:textId="77777777" w:rsidR="00B4292B" w:rsidRPr="00EC6C51" w:rsidRDefault="00B4292B" w:rsidP="00B4292B">
      <w:pPr>
        <w:rPr>
          <w:rFonts w:eastAsia="Times New Roman"/>
        </w:rPr>
      </w:pPr>
      <w:r w:rsidRPr="00EC6C51">
        <w:rPr>
          <w:rFonts w:eastAsia="Cambria"/>
          <w:noProof/>
          <w:lang w:eastAsia="en-AU"/>
        </w:rPr>
        <w:drawing>
          <wp:inline distT="0" distB="0" distL="0" distR="0" wp14:anchorId="3B8556AC" wp14:editId="055ACD65">
            <wp:extent cx="4784651" cy="26674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GEM Board &amp; Committee.png"/>
                    <pic:cNvPicPr/>
                  </pic:nvPicPr>
                  <pic:blipFill rotWithShape="1">
                    <a:blip r:embed="rId52">
                      <a:extLst>
                        <a:ext uri="{28A0092B-C50C-407E-A947-70E740481C1C}">
                          <a14:useLocalDpi xmlns:a14="http://schemas.microsoft.com/office/drawing/2010/main" val="0"/>
                        </a:ext>
                      </a:extLst>
                    </a:blip>
                    <a:srcRect l="24088" t="15676" r="18030" b="61505"/>
                    <a:stretch/>
                  </pic:blipFill>
                  <pic:spPr bwMode="auto">
                    <a:xfrm>
                      <a:off x="0" y="0"/>
                      <a:ext cx="4797521" cy="267459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PlainTable21"/>
        <w:tblW w:w="10489" w:type="dxa"/>
        <w:tblInd w:w="-284" w:type="dxa"/>
        <w:tblLook w:val="04A0" w:firstRow="1" w:lastRow="0" w:firstColumn="1" w:lastColumn="0" w:noHBand="0" w:noVBand="1"/>
      </w:tblPr>
      <w:tblGrid>
        <w:gridCol w:w="10489"/>
      </w:tblGrid>
      <w:tr w:rsidR="00B4292B" w:rsidRPr="00633B9E" w14:paraId="6DE59DE1" w14:textId="77777777" w:rsidTr="00DA12E5">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0489" w:type="dxa"/>
            <w:tcBorders>
              <w:top w:val="nil"/>
              <w:bottom w:val="single" w:sz="4" w:space="0" w:color="AB054B"/>
            </w:tcBorders>
            <w:shd w:val="clear" w:color="auto" w:fill="auto"/>
          </w:tcPr>
          <w:p w14:paraId="44140D57" w14:textId="4A3B75F8" w:rsidR="002D3B0F" w:rsidRPr="003463C9" w:rsidRDefault="002D3B0F" w:rsidP="00E21EA9">
            <w:pPr>
              <w:pStyle w:val="Heading3"/>
              <w:outlineLvl w:val="2"/>
              <w:rPr>
                <w:b/>
              </w:rPr>
            </w:pPr>
            <w:bookmarkStart w:id="79" w:name="_Toc522266471"/>
            <w:bookmarkStart w:id="80" w:name="_Hlk522267053"/>
            <w:r w:rsidRPr="003463C9">
              <w:rPr>
                <w:b/>
              </w:rPr>
              <w:t xml:space="preserve">Executive </w:t>
            </w:r>
            <w:r w:rsidR="00D639E8">
              <w:rPr>
                <w:b/>
              </w:rPr>
              <w:t>M</w:t>
            </w:r>
            <w:r w:rsidRPr="003463C9">
              <w:rPr>
                <w:b/>
              </w:rPr>
              <w:t xml:space="preserve">anagement </w:t>
            </w:r>
            <w:r w:rsidR="00D639E8">
              <w:rPr>
                <w:b/>
              </w:rPr>
              <w:t>C</w:t>
            </w:r>
            <w:r w:rsidRPr="003463C9">
              <w:rPr>
                <w:b/>
              </w:rPr>
              <w:t>ommittee</w:t>
            </w:r>
            <w:bookmarkEnd w:id="79"/>
            <w:r w:rsidRPr="003463C9">
              <w:rPr>
                <w:b/>
              </w:rPr>
              <w:t xml:space="preserve"> </w:t>
            </w:r>
          </w:p>
          <w:p w14:paraId="50509DF1" w14:textId="77777777" w:rsidR="00B4292B" w:rsidRPr="00633B9E" w:rsidRDefault="00B4292B" w:rsidP="002D3B0F">
            <w:pPr>
              <w:spacing w:after="120"/>
              <w:ind w:left="-104"/>
              <w:rPr>
                <w:rFonts w:eastAsia="Cambria"/>
                <w:b w:val="0"/>
              </w:rPr>
            </w:pPr>
            <w:r w:rsidRPr="00633B9E">
              <w:rPr>
                <w:rFonts w:eastAsia="Cambria"/>
                <w:b w:val="0"/>
              </w:rPr>
              <w:t xml:space="preserve">The </w:t>
            </w:r>
            <w:r>
              <w:rPr>
                <w:rFonts w:eastAsia="Cambria"/>
                <w:b w:val="0"/>
              </w:rPr>
              <w:t>EMC</w:t>
            </w:r>
            <w:r w:rsidRPr="00633B9E">
              <w:rPr>
                <w:rFonts w:eastAsia="Cambria"/>
                <w:b w:val="0"/>
              </w:rPr>
              <w:t xml:space="preserve"> is the key leadership group for the Office. The committee provides leadership and direction on strategic and ope</w:t>
            </w:r>
            <w:r>
              <w:rPr>
                <w:rFonts w:eastAsia="Cambria"/>
                <w:b w:val="0"/>
              </w:rPr>
              <w:t>rational issues and supports</w:t>
            </w:r>
            <w:r w:rsidRPr="00633B9E">
              <w:rPr>
                <w:rFonts w:eastAsia="Cambria"/>
                <w:b w:val="0"/>
              </w:rPr>
              <w:t xml:space="preserve"> </w:t>
            </w:r>
            <w:r>
              <w:rPr>
                <w:rFonts w:eastAsia="Cambria"/>
                <w:b w:val="0"/>
              </w:rPr>
              <w:t>the Inspector-General Emergency Management</w:t>
            </w:r>
            <w:r w:rsidRPr="00633B9E">
              <w:rPr>
                <w:rFonts w:eastAsia="Cambria"/>
                <w:b w:val="0"/>
              </w:rPr>
              <w:t xml:space="preserve"> as the accountable officer under section 61 of the </w:t>
            </w:r>
            <w:r w:rsidRPr="00633B9E">
              <w:rPr>
                <w:rFonts w:eastAsia="Cambria"/>
                <w:b w:val="0"/>
                <w:i/>
              </w:rPr>
              <w:t>Financial Accountability Act 2009</w:t>
            </w:r>
            <w:r w:rsidRPr="00633B9E">
              <w:rPr>
                <w:rFonts w:eastAsia="Cambria"/>
                <w:b w:val="0"/>
              </w:rPr>
              <w:t>, to achieve efficient, effective and financially responsible management for the Office.</w:t>
            </w:r>
          </w:p>
          <w:p w14:paraId="3FC81080" w14:textId="77777777" w:rsidR="00B4292B" w:rsidRPr="00633B9E" w:rsidRDefault="00B4292B" w:rsidP="002D3B0F">
            <w:pPr>
              <w:spacing w:after="120"/>
              <w:ind w:left="-104"/>
              <w:rPr>
                <w:rFonts w:eastAsia="Cambria"/>
                <w:b w:val="0"/>
              </w:rPr>
            </w:pPr>
            <w:r w:rsidRPr="00633B9E">
              <w:rPr>
                <w:rFonts w:eastAsia="Cambria"/>
                <w:b w:val="0"/>
              </w:rPr>
              <w:t>The committee meets monthly unless otherwise determined by committee members. Extraordinary meetings may be called at the discretion of the Chair.</w:t>
            </w:r>
          </w:p>
          <w:p w14:paraId="792DD231" w14:textId="77777777" w:rsidR="00B4292B" w:rsidRPr="00633B9E" w:rsidRDefault="00B4292B" w:rsidP="002D3B0F">
            <w:pPr>
              <w:spacing w:after="120"/>
              <w:ind w:left="-104"/>
              <w:rPr>
                <w:rFonts w:eastAsia="Cambria"/>
              </w:rPr>
            </w:pPr>
            <w:r w:rsidRPr="00633B9E">
              <w:rPr>
                <w:rFonts w:eastAsia="Cambria"/>
                <w:b w:val="0"/>
              </w:rPr>
              <w:t>During 201</w:t>
            </w:r>
            <w:r w:rsidR="002D3B0F">
              <w:rPr>
                <w:rFonts w:eastAsia="Cambria"/>
                <w:b w:val="0"/>
              </w:rPr>
              <w:t>7</w:t>
            </w:r>
            <w:r w:rsidRPr="00633B9E">
              <w:rPr>
                <w:rFonts w:eastAsia="Cambria"/>
                <w:b w:val="0"/>
              </w:rPr>
              <w:t>-1</w:t>
            </w:r>
            <w:r w:rsidR="002D3B0F">
              <w:rPr>
                <w:rFonts w:eastAsia="Cambria"/>
                <w:b w:val="0"/>
              </w:rPr>
              <w:t>8</w:t>
            </w:r>
            <w:r w:rsidRPr="00633B9E">
              <w:rPr>
                <w:rFonts w:eastAsia="Cambria"/>
                <w:b w:val="0"/>
              </w:rPr>
              <w:t xml:space="preserve">, the committee met </w:t>
            </w:r>
            <w:r w:rsidRPr="001A5800">
              <w:rPr>
                <w:rFonts w:eastAsia="Cambria"/>
                <w:b w:val="0"/>
              </w:rPr>
              <w:t>on 1</w:t>
            </w:r>
            <w:r w:rsidR="00235D2A" w:rsidRPr="001A5800">
              <w:rPr>
                <w:rFonts w:eastAsia="Cambria"/>
                <w:b w:val="0"/>
              </w:rPr>
              <w:t>1</w:t>
            </w:r>
            <w:r w:rsidRPr="001A5800">
              <w:rPr>
                <w:rFonts w:eastAsia="Cambria"/>
                <w:b w:val="0"/>
              </w:rPr>
              <w:t xml:space="preserve"> occasions</w:t>
            </w:r>
            <w:r w:rsidRPr="00633B9E">
              <w:rPr>
                <w:rFonts w:eastAsia="Cambria"/>
                <w:b w:val="0"/>
              </w:rPr>
              <w:t>.</w:t>
            </w:r>
            <w:r w:rsidRPr="00633B9E">
              <w:rPr>
                <w:rFonts w:eastAsia="Cambria"/>
              </w:rPr>
              <w:t xml:space="preserve"> </w:t>
            </w:r>
            <w:bookmarkEnd w:id="80"/>
          </w:p>
        </w:tc>
      </w:tr>
      <w:tr w:rsidR="00B4292B" w:rsidRPr="00633B9E" w14:paraId="0C4CE2A1" w14:textId="77777777" w:rsidTr="005977F7">
        <w:trPr>
          <w:cnfStyle w:val="000000100000" w:firstRow="0" w:lastRow="0" w:firstColumn="0" w:lastColumn="0" w:oddVBand="0" w:evenVBand="0" w:oddHBand="1" w:evenHBand="0" w:firstRowFirstColumn="0" w:firstRowLastColumn="0" w:lastRowFirstColumn="0" w:lastRowLastColumn="0"/>
          <w:trHeight w:val="2173"/>
        </w:trPr>
        <w:tc>
          <w:tcPr>
            <w:cnfStyle w:val="001000000000" w:firstRow="0" w:lastRow="0" w:firstColumn="1" w:lastColumn="0" w:oddVBand="0" w:evenVBand="0" w:oddHBand="0" w:evenHBand="0" w:firstRowFirstColumn="0" w:firstRowLastColumn="0" w:lastRowFirstColumn="0" w:lastRowLastColumn="0"/>
            <w:tcW w:w="10489" w:type="dxa"/>
            <w:tcBorders>
              <w:top w:val="single" w:sz="4" w:space="0" w:color="AB054B"/>
              <w:bottom w:val="single" w:sz="4" w:space="0" w:color="AB054B"/>
            </w:tcBorders>
            <w:shd w:val="clear" w:color="auto" w:fill="auto"/>
          </w:tcPr>
          <w:p w14:paraId="1CE6B927" w14:textId="77777777" w:rsidR="00B4292B" w:rsidRPr="00AA6139" w:rsidRDefault="00B4292B" w:rsidP="001A5800">
            <w:pPr>
              <w:widowControl w:val="0"/>
              <w:tabs>
                <w:tab w:val="left" w:pos="464"/>
              </w:tabs>
              <w:spacing w:after="120"/>
              <w:ind w:left="-110"/>
              <w:rPr>
                <w:rFonts w:eastAsia="Calibri"/>
                <w:b w:val="0"/>
                <w:sz w:val="24"/>
                <w:szCs w:val="24"/>
              </w:rPr>
            </w:pPr>
            <w:r w:rsidRPr="00AA6139">
              <w:rPr>
                <w:rFonts w:eastAsia="Calibri"/>
                <w:sz w:val="24"/>
                <w:szCs w:val="24"/>
              </w:rPr>
              <w:t xml:space="preserve">Committee members </w:t>
            </w:r>
          </w:p>
          <w:p w14:paraId="5A59BCBF" w14:textId="77777777" w:rsidR="00B4292B" w:rsidRPr="00633B9E" w:rsidRDefault="00B4292B" w:rsidP="001A5800">
            <w:pPr>
              <w:widowControl w:val="0"/>
              <w:numPr>
                <w:ilvl w:val="0"/>
                <w:numId w:val="15"/>
              </w:numPr>
              <w:spacing w:before="60" w:after="60" w:line="251" w:lineRule="exact"/>
              <w:ind w:left="458" w:hanging="568"/>
              <w:rPr>
                <w:rFonts w:eastAsia="Cambria"/>
                <w:b w:val="0"/>
              </w:rPr>
            </w:pPr>
            <w:r w:rsidRPr="00633B9E">
              <w:rPr>
                <w:rFonts w:eastAsia="Cambria"/>
                <w:b w:val="0"/>
              </w:rPr>
              <w:t>Iain MacKenzie AFSM, Inspector-General Emergency Management (Chair)</w:t>
            </w:r>
          </w:p>
          <w:p w14:paraId="3FAAD257" w14:textId="77777777" w:rsidR="00B4292B" w:rsidRPr="00633B9E" w:rsidRDefault="00B4292B" w:rsidP="001A5800">
            <w:pPr>
              <w:widowControl w:val="0"/>
              <w:numPr>
                <w:ilvl w:val="0"/>
                <w:numId w:val="15"/>
              </w:numPr>
              <w:spacing w:before="60" w:after="60" w:line="251" w:lineRule="exact"/>
              <w:ind w:left="458" w:hanging="568"/>
              <w:rPr>
                <w:rFonts w:eastAsia="Cambria"/>
                <w:b w:val="0"/>
              </w:rPr>
            </w:pPr>
            <w:r w:rsidRPr="00633B9E">
              <w:rPr>
                <w:rFonts w:eastAsia="Cambria"/>
                <w:b w:val="0"/>
              </w:rPr>
              <w:t xml:space="preserve">Mike Shapland MBE, Director, Interoperability and Innovation </w:t>
            </w:r>
          </w:p>
          <w:p w14:paraId="17541D1D" w14:textId="77777777" w:rsidR="00B4292B" w:rsidRPr="00633B9E" w:rsidRDefault="00B4292B" w:rsidP="001A5800">
            <w:pPr>
              <w:widowControl w:val="0"/>
              <w:numPr>
                <w:ilvl w:val="0"/>
                <w:numId w:val="15"/>
              </w:numPr>
              <w:spacing w:before="60" w:after="60" w:line="251" w:lineRule="exact"/>
              <w:ind w:left="458" w:hanging="568"/>
              <w:rPr>
                <w:rFonts w:eastAsia="Cambria"/>
                <w:b w:val="0"/>
              </w:rPr>
            </w:pPr>
            <w:r w:rsidRPr="00633B9E">
              <w:rPr>
                <w:rFonts w:eastAsia="Cambria"/>
                <w:b w:val="0"/>
              </w:rPr>
              <w:t>Sarah March, Director, Performance, Reporting and Policy Analysis</w:t>
            </w:r>
          </w:p>
          <w:p w14:paraId="10ED9C48" w14:textId="77777777" w:rsidR="00B4292B" w:rsidRPr="00633B9E" w:rsidRDefault="00B4292B" w:rsidP="001A5800">
            <w:pPr>
              <w:widowControl w:val="0"/>
              <w:numPr>
                <w:ilvl w:val="0"/>
                <w:numId w:val="15"/>
              </w:numPr>
              <w:spacing w:before="60" w:after="60" w:line="251" w:lineRule="exact"/>
              <w:ind w:left="458" w:hanging="568"/>
              <w:rPr>
                <w:rFonts w:eastAsia="Cambria"/>
                <w:b w:val="0"/>
              </w:rPr>
            </w:pPr>
            <w:r w:rsidRPr="00633B9E">
              <w:rPr>
                <w:rFonts w:eastAsia="Cambria"/>
                <w:b w:val="0"/>
              </w:rPr>
              <w:t xml:space="preserve">Rowena Richardson, Director, Standards, Best Practice and Evaluation </w:t>
            </w:r>
          </w:p>
          <w:p w14:paraId="06913939" w14:textId="77777777" w:rsidR="00B4292B" w:rsidRPr="00633B9E" w:rsidRDefault="00B4292B" w:rsidP="001A5800">
            <w:pPr>
              <w:widowControl w:val="0"/>
              <w:numPr>
                <w:ilvl w:val="0"/>
                <w:numId w:val="15"/>
              </w:numPr>
              <w:spacing w:before="60" w:after="60" w:line="251" w:lineRule="exact"/>
              <w:ind w:left="458" w:hanging="568"/>
              <w:rPr>
                <w:rFonts w:eastAsia="Cambria"/>
              </w:rPr>
            </w:pPr>
            <w:r w:rsidRPr="00633B9E">
              <w:rPr>
                <w:rFonts w:eastAsia="Cambria"/>
                <w:b w:val="0"/>
              </w:rPr>
              <w:t>Phil Nickerson, Director, Community and Stakeholder Engagement</w:t>
            </w:r>
          </w:p>
        </w:tc>
      </w:tr>
      <w:tr w:rsidR="00B4292B" w:rsidRPr="00633B9E" w14:paraId="7BDCB923" w14:textId="77777777" w:rsidTr="00AA6139">
        <w:trPr>
          <w:trHeight w:val="1486"/>
        </w:trPr>
        <w:tc>
          <w:tcPr>
            <w:cnfStyle w:val="001000000000" w:firstRow="0" w:lastRow="0" w:firstColumn="1" w:lastColumn="0" w:oddVBand="0" w:evenVBand="0" w:oddHBand="0" w:evenHBand="0" w:firstRowFirstColumn="0" w:firstRowLastColumn="0" w:lastRowFirstColumn="0" w:lastRowLastColumn="0"/>
            <w:tcW w:w="10489" w:type="dxa"/>
            <w:tcBorders>
              <w:top w:val="single" w:sz="4" w:space="0" w:color="AB054B"/>
              <w:bottom w:val="single" w:sz="4" w:space="0" w:color="AB054B"/>
            </w:tcBorders>
            <w:shd w:val="clear" w:color="auto" w:fill="auto"/>
          </w:tcPr>
          <w:p w14:paraId="7C9EE053" w14:textId="14840B27" w:rsidR="00B4292B" w:rsidRPr="00633B9E" w:rsidRDefault="00B4292B" w:rsidP="001A5800">
            <w:pPr>
              <w:widowControl w:val="0"/>
              <w:spacing w:after="120"/>
              <w:ind w:hanging="110"/>
              <w:rPr>
                <w:rFonts w:eastAsia="Arial"/>
                <w:b w:val="0"/>
              </w:rPr>
            </w:pPr>
            <w:r w:rsidRPr="00633B9E">
              <w:rPr>
                <w:rFonts w:eastAsia="Calibri"/>
                <w:b w:val="0"/>
              </w:rPr>
              <w:t>In 201</w:t>
            </w:r>
            <w:r w:rsidR="005977F7">
              <w:rPr>
                <w:rFonts w:eastAsia="Calibri"/>
                <w:b w:val="0"/>
              </w:rPr>
              <w:t>7</w:t>
            </w:r>
            <w:r w:rsidRPr="00633B9E">
              <w:rPr>
                <w:rFonts w:eastAsia="Calibri"/>
                <w:b w:val="0"/>
              </w:rPr>
              <w:t>-1</w:t>
            </w:r>
            <w:r w:rsidR="005977F7">
              <w:rPr>
                <w:rFonts w:eastAsia="Calibri"/>
                <w:b w:val="0"/>
              </w:rPr>
              <w:t>8</w:t>
            </w:r>
            <w:r w:rsidRPr="00633B9E">
              <w:rPr>
                <w:rFonts w:eastAsia="Calibri"/>
                <w:b w:val="0"/>
              </w:rPr>
              <w:t xml:space="preserve">, the </w:t>
            </w:r>
            <w:r w:rsidR="00B73477">
              <w:rPr>
                <w:rFonts w:eastAsia="Calibri"/>
                <w:b w:val="0"/>
              </w:rPr>
              <w:t>EMC</w:t>
            </w:r>
            <w:r w:rsidRPr="00633B9E">
              <w:rPr>
                <w:rFonts w:eastAsia="Calibri"/>
                <w:b w:val="0"/>
              </w:rPr>
              <w:t>:</w:t>
            </w:r>
          </w:p>
          <w:p w14:paraId="7610C5F0" w14:textId="77777777" w:rsidR="00B4292B" w:rsidRPr="00633B9E" w:rsidRDefault="00B4292B" w:rsidP="001A5800">
            <w:pPr>
              <w:widowControl w:val="0"/>
              <w:numPr>
                <w:ilvl w:val="0"/>
                <w:numId w:val="15"/>
              </w:numPr>
              <w:spacing w:before="60" w:after="60" w:line="251" w:lineRule="exact"/>
              <w:ind w:hanging="582"/>
              <w:rPr>
                <w:rFonts w:eastAsia="Cambria"/>
                <w:b w:val="0"/>
              </w:rPr>
            </w:pPr>
            <w:r w:rsidRPr="00633B9E">
              <w:rPr>
                <w:rFonts w:eastAsia="Cambria"/>
                <w:b w:val="0"/>
              </w:rPr>
              <w:t xml:space="preserve">provided strategic oversight for all </w:t>
            </w:r>
            <w:r>
              <w:rPr>
                <w:rFonts w:eastAsia="Cambria"/>
                <w:b w:val="0"/>
              </w:rPr>
              <w:t xml:space="preserve">Office </w:t>
            </w:r>
            <w:r w:rsidRPr="00633B9E">
              <w:rPr>
                <w:rFonts w:eastAsia="Cambria"/>
                <w:b w:val="0"/>
              </w:rPr>
              <w:t xml:space="preserve">reviews, assurance activities and major projects  </w:t>
            </w:r>
          </w:p>
          <w:p w14:paraId="7C8676B4" w14:textId="77777777" w:rsidR="00B4292B" w:rsidRPr="00B73477" w:rsidRDefault="00B4292B" w:rsidP="001A5800">
            <w:pPr>
              <w:widowControl w:val="0"/>
              <w:numPr>
                <w:ilvl w:val="0"/>
                <w:numId w:val="15"/>
              </w:numPr>
              <w:spacing w:before="60" w:after="60" w:line="251" w:lineRule="exact"/>
              <w:ind w:hanging="582"/>
              <w:rPr>
                <w:rFonts w:eastAsia="Cambria"/>
                <w:b w:val="0"/>
              </w:rPr>
            </w:pPr>
            <w:r w:rsidRPr="00633B9E">
              <w:rPr>
                <w:rFonts w:eastAsia="Cambria"/>
                <w:b w:val="0"/>
              </w:rPr>
              <w:t xml:space="preserve">endorsed the Office of the IGEM </w:t>
            </w:r>
            <w:r w:rsidRPr="00B73477">
              <w:rPr>
                <w:rFonts w:eastAsia="Cambria"/>
                <w:b w:val="0"/>
                <w:i/>
              </w:rPr>
              <w:t>Strategic Plan 201</w:t>
            </w:r>
            <w:r w:rsidR="00AA6139" w:rsidRPr="00B73477">
              <w:rPr>
                <w:rFonts w:eastAsia="Cambria"/>
                <w:b w:val="0"/>
                <w:i/>
              </w:rPr>
              <w:t>8</w:t>
            </w:r>
            <w:r w:rsidRPr="00B73477">
              <w:rPr>
                <w:rFonts w:eastAsia="Cambria"/>
                <w:b w:val="0"/>
                <w:i/>
              </w:rPr>
              <w:t>-202</w:t>
            </w:r>
            <w:r w:rsidR="00AA6139" w:rsidRPr="00B73477">
              <w:rPr>
                <w:rFonts w:eastAsia="Cambria"/>
                <w:b w:val="0"/>
                <w:i/>
              </w:rPr>
              <w:t>2</w:t>
            </w:r>
            <w:r w:rsidRPr="00B73477">
              <w:rPr>
                <w:rFonts w:eastAsia="Cambria"/>
                <w:b w:val="0"/>
              </w:rPr>
              <w:t xml:space="preserve"> </w:t>
            </w:r>
          </w:p>
          <w:p w14:paraId="4D84D498" w14:textId="77777777" w:rsidR="00B4292B" w:rsidRPr="00B4291C" w:rsidRDefault="00B4292B" w:rsidP="001A5800">
            <w:pPr>
              <w:widowControl w:val="0"/>
              <w:numPr>
                <w:ilvl w:val="0"/>
                <w:numId w:val="15"/>
              </w:numPr>
              <w:spacing w:before="60" w:after="60" w:line="251" w:lineRule="exact"/>
              <w:ind w:hanging="582"/>
              <w:rPr>
                <w:rFonts w:eastAsia="Cambria"/>
                <w:b w:val="0"/>
              </w:rPr>
            </w:pPr>
            <w:r w:rsidRPr="00B73477">
              <w:rPr>
                <w:rFonts w:eastAsia="Cambria"/>
                <w:b w:val="0"/>
              </w:rPr>
              <w:t xml:space="preserve">endorsed the Office of the IGEM </w:t>
            </w:r>
            <w:r w:rsidRPr="00B73477">
              <w:rPr>
                <w:rFonts w:eastAsia="Cambria"/>
                <w:b w:val="0"/>
                <w:i/>
              </w:rPr>
              <w:t>Operational Plan 201</w:t>
            </w:r>
            <w:r w:rsidR="00AA6139" w:rsidRPr="00B73477">
              <w:rPr>
                <w:rFonts w:eastAsia="Cambria"/>
                <w:b w:val="0"/>
                <w:i/>
              </w:rPr>
              <w:t>8-2019</w:t>
            </w:r>
            <w:r w:rsidRPr="00B73477">
              <w:rPr>
                <w:rFonts w:eastAsia="Cambria"/>
                <w:b w:val="0"/>
              </w:rPr>
              <w:t>.</w:t>
            </w:r>
          </w:p>
        </w:tc>
      </w:tr>
    </w:tbl>
    <w:p w14:paraId="5DB75F76" w14:textId="77777777" w:rsidR="00B4292B" w:rsidRPr="00633B9E" w:rsidRDefault="00B4292B" w:rsidP="00B4292B">
      <w:pPr>
        <w:rPr>
          <w:rFonts w:eastAsia="Cambria"/>
        </w:rPr>
      </w:pPr>
    </w:p>
    <w:p w14:paraId="5ED6137F" w14:textId="77777777" w:rsidR="00B4292B" w:rsidRDefault="00B4292B" w:rsidP="00B4292B">
      <w:r>
        <w:rPr>
          <w:b/>
          <w:bCs/>
        </w:rPr>
        <w:br w:type="page"/>
      </w:r>
    </w:p>
    <w:p w14:paraId="55B6E2FA" w14:textId="39BFFC76" w:rsidR="00A53AB7" w:rsidRPr="003463C9" w:rsidRDefault="00A53AB7" w:rsidP="00E21EA9">
      <w:pPr>
        <w:pStyle w:val="Heading3"/>
      </w:pPr>
      <w:bookmarkStart w:id="81" w:name="_Toc491169546"/>
      <w:bookmarkStart w:id="82" w:name="_Toc522266472"/>
      <w:r w:rsidRPr="003463C9">
        <w:lastRenderedPageBreak/>
        <w:t xml:space="preserve">Public </w:t>
      </w:r>
      <w:r w:rsidR="00C67644">
        <w:t>Safety P</w:t>
      </w:r>
      <w:r w:rsidRPr="003463C9">
        <w:t xml:space="preserve">ortfolio </w:t>
      </w:r>
      <w:r w:rsidR="00C67644">
        <w:t>Audit and Risk C</w:t>
      </w:r>
      <w:r w:rsidRPr="003463C9">
        <w:t>ommittee</w:t>
      </w:r>
      <w:bookmarkEnd w:id="81"/>
      <w:bookmarkEnd w:id="82"/>
    </w:p>
    <w:p w14:paraId="642E639D" w14:textId="7F34CE65" w:rsidR="00A53AB7" w:rsidRDefault="00A53AB7" w:rsidP="00B50F4F">
      <w:pPr>
        <w:ind w:left="-142"/>
        <w:rPr>
          <w:rFonts w:eastAsia="Times New Roman"/>
          <w:b/>
          <w:bCs/>
        </w:rPr>
      </w:pPr>
      <w:r>
        <w:rPr>
          <w:rFonts w:eastAsia="Arial"/>
        </w:rPr>
        <w:t>The Public Safety Portfolio Audit and Risk Committee (ARC)</w:t>
      </w:r>
      <w:r w:rsidR="00E21EA9">
        <w:rPr>
          <w:rFonts w:eastAsia="Arial"/>
        </w:rPr>
        <w:t xml:space="preserve"> is </w:t>
      </w:r>
      <w:r>
        <w:rPr>
          <w:rFonts w:eastAsia="Arial"/>
        </w:rPr>
        <w:t xml:space="preserve">established </w:t>
      </w:r>
      <w:r>
        <w:rPr>
          <w:rFonts w:eastAsia="Arial"/>
          <w:spacing w:val="-3"/>
        </w:rPr>
        <w:t>under,</w:t>
      </w:r>
      <w:r>
        <w:rPr>
          <w:rFonts w:eastAsia="Arial"/>
          <w:spacing w:val="-20"/>
        </w:rPr>
        <w:t xml:space="preserve"> </w:t>
      </w:r>
      <w:r>
        <w:rPr>
          <w:rFonts w:eastAsia="Arial"/>
        </w:rPr>
        <w:t>and</w:t>
      </w:r>
      <w:r>
        <w:rPr>
          <w:rFonts w:eastAsia="Arial"/>
          <w:w w:val="99"/>
        </w:rPr>
        <w:t xml:space="preserve"> </w:t>
      </w:r>
      <w:r>
        <w:rPr>
          <w:rFonts w:eastAsia="Arial"/>
        </w:rPr>
        <w:t xml:space="preserve">operates in accordance </w:t>
      </w:r>
      <w:r w:rsidR="00C67644">
        <w:rPr>
          <w:rFonts w:eastAsia="Arial"/>
        </w:rPr>
        <w:t xml:space="preserve">with, the terms of its charter, </w:t>
      </w:r>
      <w:r w:rsidR="001725EF">
        <w:rPr>
          <w:rFonts w:eastAsia="Arial"/>
        </w:rPr>
        <w:t xml:space="preserve">which were </w:t>
      </w:r>
      <w:r>
        <w:rPr>
          <w:rFonts w:eastAsia="Arial"/>
        </w:rPr>
        <w:t>developed in line with</w:t>
      </w:r>
      <w:r>
        <w:rPr>
          <w:rFonts w:eastAsia="Arial"/>
          <w:spacing w:val="-13"/>
        </w:rPr>
        <w:t xml:space="preserve"> </w:t>
      </w:r>
      <w:r>
        <w:rPr>
          <w:rFonts w:eastAsia="Arial"/>
        </w:rPr>
        <w:t>Queensland</w:t>
      </w:r>
      <w:r>
        <w:rPr>
          <w:rFonts w:eastAsia="Arial"/>
          <w:w w:val="99"/>
        </w:rPr>
        <w:t xml:space="preserve"> </w:t>
      </w:r>
      <w:r>
        <w:rPr>
          <w:rFonts w:eastAsia="Arial"/>
        </w:rPr>
        <w:t xml:space="preserve">Treasury’s </w:t>
      </w:r>
      <w:r>
        <w:rPr>
          <w:rFonts w:eastAsia="Arial"/>
          <w:i/>
        </w:rPr>
        <w:t>Audit Committee Guidelines: Improving Accountability and Performance</w:t>
      </w:r>
      <w:r w:rsidR="008C2DAC">
        <w:rPr>
          <w:rFonts w:eastAsia="Arial"/>
          <w:i/>
        </w:rPr>
        <w:t>,</w:t>
      </w:r>
      <w:r>
        <w:rPr>
          <w:rFonts w:eastAsia="Arial"/>
          <w:i/>
        </w:rPr>
        <w:t xml:space="preserve"> </w:t>
      </w:r>
      <w:r w:rsidR="00E21EA9">
        <w:rPr>
          <w:rFonts w:eastAsia="Arial"/>
        </w:rPr>
        <w:t xml:space="preserve">the </w:t>
      </w:r>
      <w:r w:rsidR="00E21EA9">
        <w:rPr>
          <w:rFonts w:eastAsia="Arial"/>
          <w:i/>
        </w:rPr>
        <w:t>Financial Accountability Act 2009</w:t>
      </w:r>
      <w:r w:rsidR="008C2DAC">
        <w:rPr>
          <w:rFonts w:eastAsia="Arial"/>
          <w:i/>
        </w:rPr>
        <w:t>,</w:t>
      </w:r>
      <w:r w:rsidR="00E21EA9">
        <w:rPr>
          <w:rFonts w:eastAsia="Arial"/>
          <w:i/>
        </w:rPr>
        <w:t xml:space="preserve"> </w:t>
      </w:r>
      <w:r w:rsidR="00E21EA9" w:rsidRPr="00E21EA9">
        <w:rPr>
          <w:rFonts w:eastAsia="Arial"/>
        </w:rPr>
        <w:t>and the</w:t>
      </w:r>
      <w:r w:rsidR="00E21EA9">
        <w:rPr>
          <w:rFonts w:eastAsia="Arial"/>
          <w:i/>
        </w:rPr>
        <w:t xml:space="preserve"> </w:t>
      </w:r>
      <w:r>
        <w:rPr>
          <w:rFonts w:eastAsia="Arial"/>
          <w:i/>
        </w:rPr>
        <w:t>Financial</w:t>
      </w:r>
      <w:r>
        <w:rPr>
          <w:rFonts w:eastAsia="Arial"/>
          <w:i/>
          <w:spacing w:val="-41"/>
        </w:rPr>
        <w:t xml:space="preserve"> </w:t>
      </w:r>
      <w:r>
        <w:rPr>
          <w:rFonts w:eastAsia="Arial"/>
          <w:i/>
        </w:rPr>
        <w:t>and</w:t>
      </w:r>
      <w:r>
        <w:rPr>
          <w:rFonts w:eastAsia="Arial"/>
          <w:i/>
          <w:w w:val="99"/>
        </w:rPr>
        <w:t xml:space="preserve"> </w:t>
      </w:r>
      <w:r>
        <w:rPr>
          <w:rFonts w:eastAsia="Arial"/>
          <w:i/>
        </w:rPr>
        <w:t>Perfo</w:t>
      </w:r>
      <w:r w:rsidR="00E21EA9">
        <w:rPr>
          <w:rFonts w:eastAsia="Arial"/>
          <w:i/>
        </w:rPr>
        <w:t>rmance Management Standard 2009</w:t>
      </w:r>
      <w:r>
        <w:rPr>
          <w:rFonts w:eastAsia="Arial"/>
          <w:i/>
        </w:rPr>
        <w:t xml:space="preserve">. </w:t>
      </w:r>
      <w:r>
        <w:rPr>
          <w:rFonts w:eastAsia="Arial"/>
        </w:rPr>
        <w:t>The charter</w:t>
      </w:r>
      <w:r>
        <w:rPr>
          <w:rFonts w:eastAsia="Arial"/>
          <w:spacing w:val="-34"/>
        </w:rPr>
        <w:t xml:space="preserve"> </w:t>
      </w:r>
      <w:r>
        <w:rPr>
          <w:rFonts w:eastAsia="Arial"/>
        </w:rPr>
        <w:t>is</w:t>
      </w:r>
      <w:r>
        <w:rPr>
          <w:rFonts w:eastAsia="Arial"/>
          <w:w w:val="99"/>
        </w:rPr>
        <w:t xml:space="preserve"> </w:t>
      </w:r>
      <w:r>
        <w:rPr>
          <w:rFonts w:eastAsia="Arial"/>
        </w:rPr>
        <w:t>reviewed annually by the committee to ensure it remains consistent with the committee’s</w:t>
      </w:r>
      <w:r>
        <w:rPr>
          <w:rFonts w:eastAsia="Arial"/>
          <w:spacing w:val="-25"/>
        </w:rPr>
        <w:t xml:space="preserve"> </w:t>
      </w:r>
      <w:r>
        <w:rPr>
          <w:rFonts w:eastAsia="Arial"/>
        </w:rPr>
        <w:t>authority,</w:t>
      </w:r>
      <w:r>
        <w:rPr>
          <w:rFonts w:eastAsia="Arial"/>
          <w:w w:val="99"/>
        </w:rPr>
        <w:t xml:space="preserve"> </w:t>
      </w:r>
      <w:r>
        <w:rPr>
          <w:rFonts w:eastAsia="Arial"/>
        </w:rPr>
        <w:t>objectives and</w:t>
      </w:r>
      <w:r>
        <w:rPr>
          <w:rFonts w:eastAsia="Arial"/>
          <w:spacing w:val="-9"/>
        </w:rPr>
        <w:t xml:space="preserve"> </w:t>
      </w:r>
      <w:r>
        <w:rPr>
          <w:rFonts w:eastAsia="Arial"/>
        </w:rPr>
        <w:t xml:space="preserve">responsibilities.  </w:t>
      </w:r>
    </w:p>
    <w:p w14:paraId="62B07339" w14:textId="2F91F98A" w:rsidR="00A53AB7" w:rsidRDefault="00A53AB7" w:rsidP="00B50F4F">
      <w:pPr>
        <w:pStyle w:val="BodyText"/>
        <w:ind w:left="-142" w:right="284"/>
        <w:rPr>
          <w:rFonts w:eastAsia="Arial" w:cstheme="minorBidi"/>
        </w:rPr>
      </w:pPr>
      <w:r w:rsidRPr="00193603">
        <w:t xml:space="preserve">The committee </w:t>
      </w:r>
      <w:r w:rsidR="00EE7E3B" w:rsidRPr="00193603">
        <w:t>has primary responsibility for audit and risk matters as they relate to the Office and PSBA</w:t>
      </w:r>
      <w:r w:rsidRPr="00193603">
        <w:t xml:space="preserve">. </w:t>
      </w:r>
      <w:r w:rsidR="00EE7E3B" w:rsidRPr="00193603">
        <w:t>It provides relevant information to the standalone Audit and Risk Committees establishe</w:t>
      </w:r>
      <w:r w:rsidR="007A21CD" w:rsidRPr="00193603">
        <w:t xml:space="preserve">d by QFES and QPS when required. </w:t>
      </w:r>
      <w:r w:rsidRPr="00193603">
        <w:t>It provides</w:t>
      </w:r>
      <w:r>
        <w:t xml:space="preserve"> independent assurance and assistance through prompt and </w:t>
      </w:r>
      <w:r w:rsidRPr="001725EF">
        <w:rPr>
          <w:szCs w:val="22"/>
        </w:rPr>
        <w:t>constructive</w:t>
      </w:r>
      <w:r w:rsidR="00E21EA9">
        <w:rPr>
          <w:szCs w:val="22"/>
        </w:rPr>
        <w:t xml:space="preserve"> reports directly to the </w:t>
      </w:r>
      <w:r w:rsidRPr="001725EF">
        <w:rPr>
          <w:szCs w:val="22"/>
        </w:rPr>
        <w:t>accountable</w:t>
      </w:r>
      <w:r>
        <w:t xml:space="preserve"> officers from the </w:t>
      </w:r>
      <w:r w:rsidR="001725EF">
        <w:t>public safety</w:t>
      </w:r>
      <w:r>
        <w:t xml:space="preserve"> agencies, particularly when issues identified present</w:t>
      </w:r>
      <w:r>
        <w:rPr>
          <w:spacing w:val="-24"/>
        </w:rPr>
        <w:t xml:space="preserve"> </w:t>
      </w:r>
      <w:r>
        <w:t>material</w:t>
      </w:r>
      <w:r>
        <w:rPr>
          <w:w w:val="99"/>
        </w:rPr>
        <w:t xml:space="preserve"> </w:t>
      </w:r>
      <w:r>
        <w:t>risk or threat to those agencies.</w:t>
      </w:r>
    </w:p>
    <w:p w14:paraId="26412ED8" w14:textId="77777777" w:rsidR="00A53AB7" w:rsidRDefault="00A53AB7" w:rsidP="00B50F4F">
      <w:pPr>
        <w:pStyle w:val="BodyText"/>
        <w:ind w:left="-142" w:right="284"/>
      </w:pPr>
      <w:r>
        <w:t>The committee is chaired by an independent external expert appointed to the role. Each public</w:t>
      </w:r>
      <w:r>
        <w:rPr>
          <w:spacing w:val="-20"/>
        </w:rPr>
        <w:t xml:space="preserve"> </w:t>
      </w:r>
      <w:r>
        <w:t>safety</w:t>
      </w:r>
      <w:r>
        <w:rPr>
          <w:w w:val="99"/>
        </w:rPr>
        <w:t xml:space="preserve"> </w:t>
      </w:r>
      <w:r>
        <w:t>agency</w:t>
      </w:r>
      <w:r>
        <w:rPr>
          <w:spacing w:val="-2"/>
        </w:rPr>
        <w:t xml:space="preserve"> </w:t>
      </w:r>
      <w:r>
        <w:t>is</w:t>
      </w:r>
      <w:r>
        <w:rPr>
          <w:spacing w:val="-2"/>
        </w:rPr>
        <w:t xml:space="preserve"> </w:t>
      </w:r>
      <w:r>
        <w:t>represented</w:t>
      </w:r>
      <w:r>
        <w:rPr>
          <w:spacing w:val="-2"/>
        </w:rPr>
        <w:t xml:space="preserve"> </w:t>
      </w:r>
      <w:r>
        <w:t>by</w:t>
      </w:r>
      <w:r>
        <w:rPr>
          <w:spacing w:val="-2"/>
        </w:rPr>
        <w:t xml:space="preserve"> </w:t>
      </w:r>
      <w:r>
        <w:t>one</w:t>
      </w:r>
      <w:r>
        <w:rPr>
          <w:spacing w:val="-2"/>
        </w:rPr>
        <w:t xml:space="preserve"> </w:t>
      </w:r>
      <w:r>
        <w:t>member.</w:t>
      </w:r>
      <w:r>
        <w:rPr>
          <w:spacing w:val="-13"/>
        </w:rPr>
        <w:t xml:space="preserve"> </w:t>
      </w:r>
      <w:r>
        <w:t>A</w:t>
      </w:r>
      <w:r>
        <w:rPr>
          <w:spacing w:val="-13"/>
        </w:rPr>
        <w:t xml:space="preserve"> </w:t>
      </w:r>
      <w:r>
        <w:t>second</w:t>
      </w:r>
      <w:r>
        <w:rPr>
          <w:spacing w:val="-2"/>
        </w:rPr>
        <w:t xml:space="preserve"> </w:t>
      </w:r>
      <w:r>
        <w:t>external</w:t>
      </w:r>
      <w:r>
        <w:rPr>
          <w:spacing w:val="-2"/>
        </w:rPr>
        <w:t xml:space="preserve"> </w:t>
      </w:r>
      <w:r>
        <w:t>member</w:t>
      </w:r>
      <w:r>
        <w:rPr>
          <w:spacing w:val="-2"/>
        </w:rPr>
        <w:t xml:space="preserve"> </w:t>
      </w:r>
      <w:r>
        <w:t>also</w:t>
      </w:r>
      <w:r>
        <w:rPr>
          <w:spacing w:val="-2"/>
        </w:rPr>
        <w:t xml:space="preserve"> </w:t>
      </w:r>
      <w:r>
        <w:t>forms</w:t>
      </w:r>
      <w:r>
        <w:rPr>
          <w:spacing w:val="-2"/>
        </w:rPr>
        <w:t xml:space="preserve"> </w:t>
      </w:r>
      <w:r>
        <w:t>part</w:t>
      </w:r>
      <w:r>
        <w:rPr>
          <w:spacing w:val="-2"/>
        </w:rPr>
        <w:t xml:space="preserve"> </w:t>
      </w:r>
      <w:r>
        <w:t>of</w:t>
      </w:r>
      <w:r>
        <w:rPr>
          <w:spacing w:val="-2"/>
        </w:rPr>
        <w:t xml:space="preserve"> </w:t>
      </w:r>
      <w:r>
        <w:t>the</w:t>
      </w:r>
      <w:r>
        <w:rPr>
          <w:w w:val="99"/>
        </w:rPr>
        <w:t xml:space="preserve"> </w:t>
      </w:r>
      <w:r>
        <w:t>committee. The Chair may invite or give approval for other persons to attend a committee</w:t>
      </w:r>
      <w:r>
        <w:rPr>
          <w:spacing w:val="-21"/>
        </w:rPr>
        <w:t xml:space="preserve"> </w:t>
      </w:r>
      <w:r>
        <w:t>meeting.</w:t>
      </w:r>
    </w:p>
    <w:p w14:paraId="2DAEE5D8" w14:textId="77777777" w:rsidR="00A53AB7" w:rsidRDefault="00A53AB7" w:rsidP="00B50F4F">
      <w:pPr>
        <w:pStyle w:val="BodyText"/>
        <w:ind w:left="-142" w:right="284"/>
      </w:pPr>
      <w:r>
        <w:t>The committee meets quarterly and met on five occasions during</w:t>
      </w:r>
      <w:r>
        <w:rPr>
          <w:spacing w:val="-17"/>
        </w:rPr>
        <w:t xml:space="preserve"> </w:t>
      </w:r>
      <w:r w:rsidR="00D91CAA">
        <w:t>2017-18.</w:t>
      </w:r>
    </w:p>
    <w:p w14:paraId="29B44CFD" w14:textId="77777777" w:rsidR="00A53AB7" w:rsidRDefault="00A53AB7" w:rsidP="00B50F4F">
      <w:pPr>
        <w:pStyle w:val="BodyText"/>
        <w:ind w:left="-142" w:right="12"/>
      </w:pPr>
      <w:r>
        <w:t>The independent external Chair received $9,622.75 (including GST) in remuneration for</w:t>
      </w:r>
      <w:r>
        <w:rPr>
          <w:spacing w:val="-10"/>
        </w:rPr>
        <w:t xml:space="preserve"> </w:t>
      </w:r>
      <w:r>
        <w:t>services</w:t>
      </w:r>
      <w:r>
        <w:rPr>
          <w:w w:val="99"/>
        </w:rPr>
        <w:t xml:space="preserve"> </w:t>
      </w:r>
      <w:r>
        <w:t>provided in 2017-18. The second external member received $4,812.50 (including GST). There were</w:t>
      </w:r>
      <w:r>
        <w:rPr>
          <w:spacing w:val="-25"/>
        </w:rPr>
        <w:t xml:space="preserve"> </w:t>
      </w:r>
      <w:r>
        <w:t>no</w:t>
      </w:r>
      <w:r>
        <w:rPr>
          <w:w w:val="99"/>
        </w:rPr>
        <w:t xml:space="preserve"> </w:t>
      </w:r>
      <w:r>
        <w:t>other</w:t>
      </w:r>
      <w:r>
        <w:rPr>
          <w:spacing w:val="-3"/>
        </w:rPr>
        <w:t xml:space="preserve"> </w:t>
      </w:r>
      <w:r>
        <w:t>on-costs.</w:t>
      </w:r>
    </w:p>
    <w:tbl>
      <w:tblPr>
        <w:tblStyle w:val="TableGrid"/>
        <w:tblW w:w="10598" w:type="dxa"/>
        <w:tblInd w:w="-284" w:type="dxa"/>
        <w:tblBorders>
          <w:top w:val="none" w:sz="0" w:space="0" w:color="auto"/>
          <w:left w:val="none" w:sz="0" w:space="0" w:color="auto"/>
          <w:bottom w:val="single" w:sz="12" w:space="0" w:color="AB054B"/>
          <w:right w:val="none" w:sz="0" w:space="0" w:color="auto"/>
          <w:insideH w:val="none" w:sz="0" w:space="0" w:color="auto"/>
          <w:insideV w:val="none" w:sz="0" w:space="0" w:color="auto"/>
        </w:tblBorders>
        <w:tblLook w:val="04A0" w:firstRow="1" w:lastRow="0" w:firstColumn="1" w:lastColumn="0" w:noHBand="0" w:noVBand="1"/>
      </w:tblPr>
      <w:tblGrid>
        <w:gridCol w:w="10598"/>
      </w:tblGrid>
      <w:tr w:rsidR="00A53AB7" w14:paraId="4FD5BC9F" w14:textId="77777777" w:rsidTr="00135DF7">
        <w:trPr>
          <w:trHeight w:val="3424"/>
        </w:trPr>
        <w:tc>
          <w:tcPr>
            <w:tcW w:w="10598" w:type="dxa"/>
            <w:tcBorders>
              <w:top w:val="single" w:sz="4" w:space="0" w:color="AB054B"/>
              <w:bottom w:val="single" w:sz="4" w:space="0" w:color="AB054B"/>
            </w:tcBorders>
            <w:vAlign w:val="center"/>
          </w:tcPr>
          <w:p w14:paraId="04FA3E43" w14:textId="77777777" w:rsidR="00A53AB7" w:rsidRDefault="00135DF7" w:rsidP="00DA12E5">
            <w:pPr>
              <w:spacing w:after="120"/>
              <w:rPr>
                <w:rFonts w:eastAsia="Cambria"/>
                <w:b/>
                <w:sz w:val="24"/>
              </w:rPr>
            </w:pPr>
            <w:r>
              <w:rPr>
                <w:rFonts w:eastAsia="Cambria"/>
                <w:b/>
                <w:sz w:val="24"/>
              </w:rPr>
              <w:t>Committee members</w:t>
            </w:r>
          </w:p>
          <w:p w14:paraId="0F33343C" w14:textId="77777777" w:rsidR="00135DF7" w:rsidRPr="00135DF7" w:rsidRDefault="00135DF7" w:rsidP="0017125F">
            <w:pPr>
              <w:pStyle w:val="ListParagraph"/>
              <w:widowControl w:val="0"/>
              <w:numPr>
                <w:ilvl w:val="0"/>
                <w:numId w:val="18"/>
              </w:numPr>
              <w:tabs>
                <w:tab w:val="left" w:pos="712"/>
              </w:tabs>
              <w:spacing w:before="119"/>
              <w:ind w:right="284" w:hanging="360"/>
              <w:contextualSpacing w:val="0"/>
              <w:rPr>
                <w:rFonts w:eastAsia="Arial"/>
              </w:rPr>
            </w:pPr>
            <w:r w:rsidRPr="00135DF7">
              <w:t>Graham Carpenter, Chair (external member)</w:t>
            </w:r>
          </w:p>
          <w:p w14:paraId="3A679580" w14:textId="77777777" w:rsidR="00135DF7" w:rsidRPr="00135DF7" w:rsidRDefault="00135DF7" w:rsidP="0017125F">
            <w:pPr>
              <w:pStyle w:val="ListParagraph"/>
              <w:widowControl w:val="0"/>
              <w:numPr>
                <w:ilvl w:val="0"/>
                <w:numId w:val="18"/>
              </w:numPr>
              <w:tabs>
                <w:tab w:val="left" w:pos="712"/>
              </w:tabs>
              <w:spacing w:before="118"/>
              <w:ind w:right="743" w:hanging="360"/>
              <w:contextualSpacing w:val="0"/>
              <w:rPr>
                <w:rFonts w:eastAsia="Arial"/>
              </w:rPr>
            </w:pPr>
            <w:r w:rsidRPr="00135DF7">
              <w:t>Ian</w:t>
            </w:r>
            <w:r w:rsidRPr="00135DF7">
              <w:rPr>
                <w:spacing w:val="-4"/>
              </w:rPr>
              <w:t xml:space="preserve"> </w:t>
            </w:r>
            <w:r w:rsidRPr="00135DF7">
              <w:t>Stewart</w:t>
            </w:r>
            <w:r w:rsidRPr="00135DF7">
              <w:rPr>
                <w:spacing w:val="-15"/>
              </w:rPr>
              <w:t xml:space="preserve"> </w:t>
            </w:r>
            <w:r w:rsidRPr="00135DF7">
              <w:t>APM,</w:t>
            </w:r>
            <w:r w:rsidRPr="00135DF7">
              <w:rPr>
                <w:spacing w:val="-3"/>
              </w:rPr>
              <w:t xml:space="preserve"> </w:t>
            </w:r>
            <w:r w:rsidRPr="00135DF7">
              <w:t>Commissioner,</w:t>
            </w:r>
            <w:r w:rsidRPr="00135DF7">
              <w:rPr>
                <w:spacing w:val="-4"/>
              </w:rPr>
              <w:t xml:space="preserve"> </w:t>
            </w:r>
            <w:r w:rsidRPr="00135DF7">
              <w:t>QPS</w:t>
            </w:r>
            <w:r w:rsidRPr="00135DF7">
              <w:rPr>
                <w:spacing w:val="-4"/>
              </w:rPr>
              <w:t xml:space="preserve"> </w:t>
            </w:r>
            <w:r w:rsidRPr="00135DF7">
              <w:t>represented</w:t>
            </w:r>
            <w:r w:rsidRPr="00135DF7">
              <w:rPr>
                <w:spacing w:val="-4"/>
              </w:rPr>
              <w:t xml:space="preserve"> </w:t>
            </w:r>
            <w:r w:rsidRPr="00135DF7">
              <w:t>by</w:t>
            </w:r>
            <w:r w:rsidRPr="00135DF7">
              <w:rPr>
                <w:spacing w:val="-4"/>
              </w:rPr>
              <w:t xml:space="preserve"> </w:t>
            </w:r>
            <w:r w:rsidRPr="00135DF7">
              <w:t>Tracy Linford APM,</w:t>
            </w:r>
            <w:r w:rsidRPr="00135DF7">
              <w:rPr>
                <w:spacing w:val="-4"/>
              </w:rPr>
              <w:t xml:space="preserve"> </w:t>
            </w:r>
            <w:r w:rsidRPr="00135DF7">
              <w:t>Deputy</w:t>
            </w:r>
            <w:r w:rsidRPr="00135DF7">
              <w:rPr>
                <w:spacing w:val="-4"/>
              </w:rPr>
              <w:t xml:space="preserve"> </w:t>
            </w:r>
            <w:r w:rsidRPr="00135DF7">
              <w:t>Commissioner,</w:t>
            </w:r>
            <w:r w:rsidRPr="00135DF7">
              <w:rPr>
                <w:w w:val="99"/>
              </w:rPr>
              <w:t xml:space="preserve"> </w:t>
            </w:r>
            <w:r w:rsidRPr="00135DF7">
              <w:rPr>
                <w:spacing w:val="-3"/>
              </w:rPr>
              <w:t xml:space="preserve">Strategy, </w:t>
            </w:r>
            <w:r w:rsidRPr="00135DF7">
              <w:t>Policy and Performance,</w:t>
            </w:r>
            <w:r w:rsidRPr="00135DF7">
              <w:rPr>
                <w:spacing w:val="3"/>
              </w:rPr>
              <w:t xml:space="preserve"> </w:t>
            </w:r>
            <w:r w:rsidRPr="00135DF7">
              <w:t>QPS</w:t>
            </w:r>
          </w:p>
          <w:p w14:paraId="32DF0FB7" w14:textId="77777777" w:rsidR="00135DF7" w:rsidRPr="00135DF7" w:rsidRDefault="00135DF7" w:rsidP="0017125F">
            <w:pPr>
              <w:pStyle w:val="ListParagraph"/>
              <w:widowControl w:val="0"/>
              <w:numPr>
                <w:ilvl w:val="0"/>
                <w:numId w:val="18"/>
              </w:numPr>
              <w:tabs>
                <w:tab w:val="left" w:pos="712"/>
              </w:tabs>
              <w:spacing w:before="119"/>
              <w:ind w:right="1356" w:hanging="360"/>
              <w:contextualSpacing w:val="0"/>
              <w:rPr>
                <w:rFonts w:eastAsia="Arial"/>
              </w:rPr>
            </w:pPr>
            <w:r w:rsidRPr="00135DF7">
              <w:t>Katarina</w:t>
            </w:r>
            <w:r w:rsidRPr="00135DF7">
              <w:rPr>
                <w:spacing w:val="-4"/>
              </w:rPr>
              <w:t xml:space="preserve"> </w:t>
            </w:r>
            <w:r w:rsidRPr="00135DF7">
              <w:t>Carroll</w:t>
            </w:r>
            <w:r w:rsidRPr="00135DF7">
              <w:rPr>
                <w:spacing w:val="-15"/>
              </w:rPr>
              <w:t xml:space="preserve"> </w:t>
            </w:r>
            <w:r w:rsidRPr="00135DF7">
              <w:t>APM,</w:t>
            </w:r>
            <w:r w:rsidRPr="00135DF7">
              <w:rPr>
                <w:spacing w:val="-4"/>
              </w:rPr>
              <w:t xml:space="preserve"> </w:t>
            </w:r>
            <w:r w:rsidRPr="00135DF7">
              <w:t>Commissioner,</w:t>
            </w:r>
            <w:r w:rsidRPr="00135DF7">
              <w:rPr>
                <w:spacing w:val="-4"/>
              </w:rPr>
              <w:t xml:space="preserve"> </w:t>
            </w:r>
            <w:r w:rsidRPr="00135DF7">
              <w:t>QFES</w:t>
            </w:r>
            <w:r w:rsidRPr="00135DF7">
              <w:rPr>
                <w:spacing w:val="-4"/>
              </w:rPr>
              <w:t xml:space="preserve"> </w:t>
            </w:r>
            <w:r w:rsidRPr="00135DF7">
              <w:t>represented</w:t>
            </w:r>
            <w:r w:rsidRPr="00135DF7">
              <w:rPr>
                <w:spacing w:val="-4"/>
              </w:rPr>
              <w:t xml:space="preserve"> </w:t>
            </w:r>
            <w:r w:rsidRPr="00135DF7">
              <w:t>by</w:t>
            </w:r>
            <w:r w:rsidRPr="00135DF7">
              <w:rPr>
                <w:spacing w:val="-4"/>
              </w:rPr>
              <w:t xml:space="preserve"> </w:t>
            </w:r>
            <w:r w:rsidRPr="00135DF7">
              <w:t>Doug</w:t>
            </w:r>
            <w:r w:rsidRPr="00135DF7">
              <w:rPr>
                <w:spacing w:val="-4"/>
              </w:rPr>
              <w:t xml:space="preserve"> </w:t>
            </w:r>
            <w:r w:rsidRPr="00135DF7">
              <w:t>Smith</w:t>
            </w:r>
            <w:r w:rsidRPr="00135DF7">
              <w:rPr>
                <w:spacing w:val="-15"/>
              </w:rPr>
              <w:t xml:space="preserve"> </w:t>
            </w:r>
            <w:r w:rsidRPr="00135DF7">
              <w:t>APM,</w:t>
            </w:r>
            <w:r w:rsidRPr="00135DF7">
              <w:rPr>
                <w:spacing w:val="-3"/>
              </w:rPr>
              <w:t xml:space="preserve"> </w:t>
            </w:r>
            <w:r w:rsidRPr="00135DF7">
              <w:t>Deputy</w:t>
            </w:r>
            <w:r w:rsidRPr="00135DF7">
              <w:rPr>
                <w:spacing w:val="-1"/>
                <w:w w:val="99"/>
              </w:rPr>
              <w:t xml:space="preserve"> </w:t>
            </w:r>
            <w:r w:rsidRPr="00135DF7">
              <w:t>Commissioner</w:t>
            </w:r>
            <w:r w:rsidRPr="00135DF7">
              <w:rPr>
                <w:b/>
              </w:rPr>
              <w:t xml:space="preserve">, </w:t>
            </w:r>
            <w:r w:rsidRPr="00135DF7">
              <w:t>Chief Strategy Officer, Strategy and Corporate Services</w:t>
            </w:r>
            <w:r w:rsidRPr="00135DF7">
              <w:rPr>
                <w:b/>
              </w:rPr>
              <w:t>,</w:t>
            </w:r>
            <w:r w:rsidRPr="00135DF7">
              <w:rPr>
                <w:b/>
                <w:spacing w:val="-12"/>
              </w:rPr>
              <w:t xml:space="preserve"> </w:t>
            </w:r>
            <w:r w:rsidRPr="00135DF7">
              <w:t>QFES</w:t>
            </w:r>
          </w:p>
          <w:p w14:paraId="326AAC82" w14:textId="77777777" w:rsidR="00135DF7" w:rsidRPr="00135DF7" w:rsidRDefault="00135DF7" w:rsidP="0017125F">
            <w:pPr>
              <w:pStyle w:val="ListParagraph"/>
              <w:widowControl w:val="0"/>
              <w:numPr>
                <w:ilvl w:val="0"/>
                <w:numId w:val="18"/>
              </w:numPr>
              <w:tabs>
                <w:tab w:val="left" w:pos="713"/>
              </w:tabs>
              <w:spacing w:before="119"/>
              <w:ind w:right="284"/>
              <w:contextualSpacing w:val="0"/>
              <w:rPr>
                <w:rFonts w:eastAsia="Arial"/>
              </w:rPr>
            </w:pPr>
            <w:r w:rsidRPr="00135DF7">
              <w:t>Iain MacKenzie AFSM, Inspector-General Emergency</w:t>
            </w:r>
            <w:r w:rsidRPr="00135DF7">
              <w:rPr>
                <w:spacing w:val="-13"/>
              </w:rPr>
              <w:t xml:space="preserve"> </w:t>
            </w:r>
            <w:r w:rsidRPr="00135DF7">
              <w:t>Management</w:t>
            </w:r>
          </w:p>
          <w:p w14:paraId="4168C693" w14:textId="18B8E523" w:rsidR="00135DF7" w:rsidRPr="00B73477" w:rsidRDefault="00135DF7" w:rsidP="0017125F">
            <w:pPr>
              <w:pStyle w:val="ListParagraph"/>
              <w:widowControl w:val="0"/>
              <w:numPr>
                <w:ilvl w:val="0"/>
                <w:numId w:val="18"/>
              </w:numPr>
              <w:tabs>
                <w:tab w:val="left" w:pos="713"/>
              </w:tabs>
              <w:spacing w:before="118"/>
              <w:ind w:right="284"/>
              <w:contextualSpacing w:val="0"/>
              <w:rPr>
                <w:rFonts w:eastAsia="Arial"/>
              </w:rPr>
            </w:pPr>
            <w:r w:rsidRPr="00135DF7">
              <w:t xml:space="preserve">Peter Griffin, Chief Operating </w:t>
            </w:r>
            <w:r w:rsidRPr="00135DF7">
              <w:rPr>
                <w:spacing w:val="-3"/>
              </w:rPr>
              <w:t>Officer,</w:t>
            </w:r>
            <w:r w:rsidRPr="00135DF7">
              <w:rPr>
                <w:spacing w:val="-1"/>
              </w:rPr>
              <w:t xml:space="preserve"> </w:t>
            </w:r>
            <w:r w:rsidRPr="00135DF7">
              <w:t>PSBA</w:t>
            </w:r>
          </w:p>
          <w:p w14:paraId="15A75788" w14:textId="6096010C" w:rsidR="004360B5" w:rsidRPr="00B73477" w:rsidRDefault="00B73477" w:rsidP="00B73477">
            <w:pPr>
              <w:pStyle w:val="ListParagraph"/>
              <w:widowControl w:val="0"/>
              <w:numPr>
                <w:ilvl w:val="0"/>
                <w:numId w:val="18"/>
              </w:numPr>
              <w:tabs>
                <w:tab w:val="left" w:pos="713"/>
              </w:tabs>
              <w:spacing w:before="118"/>
              <w:ind w:right="284"/>
              <w:contextualSpacing w:val="0"/>
              <w:rPr>
                <w:rStyle w:val="Style1Char"/>
                <w:rFonts w:eastAsiaTheme="minorHAnsi"/>
                <w:b w:val="0"/>
                <w:noProof w:val="0"/>
                <w:color w:val="auto"/>
                <w:sz w:val="22"/>
                <w:szCs w:val="20"/>
                <w:lang w:eastAsia="ja-JP"/>
              </w:rPr>
            </w:pPr>
            <w:r w:rsidRPr="00135DF7">
              <w:t>Marita Corbett (external</w:t>
            </w:r>
            <w:r>
              <w:t xml:space="preserve"> member)</w:t>
            </w:r>
          </w:p>
        </w:tc>
      </w:tr>
    </w:tbl>
    <w:p w14:paraId="55B1ECC9" w14:textId="77777777" w:rsidR="00135DF7" w:rsidRDefault="005977F7" w:rsidP="00B50F4F">
      <w:pPr>
        <w:ind w:left="-142"/>
      </w:pPr>
      <w:r>
        <w:t>During 2017-18, the committee’s achievements include</w:t>
      </w:r>
      <w:r w:rsidR="00135DF7">
        <w:t>:</w:t>
      </w:r>
    </w:p>
    <w:p w14:paraId="25D5D0BC" w14:textId="77777777" w:rsidR="00135DF7" w:rsidRDefault="00135DF7" w:rsidP="0017125F">
      <w:pPr>
        <w:widowControl w:val="0"/>
        <w:numPr>
          <w:ilvl w:val="0"/>
          <w:numId w:val="16"/>
        </w:numPr>
        <w:ind w:hanging="502"/>
        <w:rPr>
          <w:rFonts w:eastAsia="Cambria"/>
        </w:rPr>
      </w:pPr>
      <w:r>
        <w:rPr>
          <w:rFonts w:eastAsia="Cambria"/>
        </w:rPr>
        <w:t>overseeing progress on Queensland Audit Office (QAO) issues and the status of the QAO Audit Program</w:t>
      </w:r>
    </w:p>
    <w:p w14:paraId="16B57D7D" w14:textId="77777777" w:rsidR="00135DF7" w:rsidRDefault="00135DF7" w:rsidP="0017125F">
      <w:pPr>
        <w:widowControl w:val="0"/>
        <w:numPr>
          <w:ilvl w:val="0"/>
          <w:numId w:val="16"/>
        </w:numPr>
        <w:ind w:hanging="502"/>
        <w:rPr>
          <w:rFonts w:eastAsia="Cambria"/>
        </w:rPr>
      </w:pPr>
      <w:r>
        <w:rPr>
          <w:rFonts w:eastAsia="Cambria"/>
        </w:rPr>
        <w:t>considering all audit reports and providing direction regarding implementation of report recommendations</w:t>
      </w:r>
      <w:r w:rsidR="00D91CAA">
        <w:rPr>
          <w:rFonts w:eastAsia="Cambria"/>
        </w:rPr>
        <w:t xml:space="preserve"> </w:t>
      </w:r>
      <w:r w:rsidR="00D91CAA" w:rsidRPr="001725EF">
        <w:rPr>
          <w:rFonts w:eastAsia="Cambria"/>
        </w:rPr>
        <w:t xml:space="preserve">and </w:t>
      </w:r>
      <w:r w:rsidRPr="001725EF">
        <w:rPr>
          <w:rFonts w:eastAsia="Cambria"/>
        </w:rPr>
        <w:t>actions</w:t>
      </w:r>
    </w:p>
    <w:p w14:paraId="4B9BD8EF" w14:textId="77777777" w:rsidR="00135DF7" w:rsidRDefault="00135DF7" w:rsidP="0017125F">
      <w:pPr>
        <w:widowControl w:val="0"/>
        <w:numPr>
          <w:ilvl w:val="0"/>
          <w:numId w:val="16"/>
        </w:numPr>
        <w:ind w:left="363" w:hanging="505"/>
        <w:rPr>
          <w:rFonts w:eastAsia="Cambria"/>
        </w:rPr>
      </w:pPr>
      <w:r>
        <w:rPr>
          <w:rFonts w:eastAsia="Cambria"/>
        </w:rPr>
        <w:t xml:space="preserve">monitoring compliance with the </w:t>
      </w:r>
      <w:r w:rsidRPr="00B73477">
        <w:rPr>
          <w:rFonts w:eastAsia="Cambria"/>
          <w:i/>
        </w:rPr>
        <w:t>Annual Internal Audit Plan 2017-18</w:t>
      </w:r>
      <w:r>
        <w:rPr>
          <w:rFonts w:eastAsia="Cambria"/>
        </w:rPr>
        <w:t xml:space="preserve"> and </w:t>
      </w:r>
      <w:r w:rsidRPr="00B73477">
        <w:rPr>
          <w:rFonts w:eastAsia="Cambria"/>
          <w:i/>
        </w:rPr>
        <w:t>Strategic Internal Audit Plan 2018-2021</w:t>
      </w:r>
      <w:r>
        <w:rPr>
          <w:rFonts w:eastAsia="Cambria"/>
        </w:rPr>
        <w:t xml:space="preserve"> and overseeing the status of open recommendations</w:t>
      </w:r>
    </w:p>
    <w:p w14:paraId="34DE2F54" w14:textId="77777777" w:rsidR="00135DF7" w:rsidRDefault="00135DF7" w:rsidP="0017125F">
      <w:pPr>
        <w:widowControl w:val="0"/>
        <w:numPr>
          <w:ilvl w:val="0"/>
          <w:numId w:val="16"/>
        </w:numPr>
        <w:ind w:hanging="502"/>
        <w:rPr>
          <w:rFonts w:eastAsia="Cambria"/>
        </w:rPr>
      </w:pPr>
      <w:r>
        <w:rPr>
          <w:rFonts w:eastAsia="Cambria"/>
        </w:rPr>
        <w:t xml:space="preserve">contributing to the development of the </w:t>
      </w:r>
      <w:r w:rsidRPr="00B73477">
        <w:rPr>
          <w:rFonts w:eastAsia="Cambria"/>
          <w:i/>
        </w:rPr>
        <w:t>PSBA Enterprise Risk Management Policy</w:t>
      </w:r>
    </w:p>
    <w:p w14:paraId="4ACA6F93" w14:textId="77777777" w:rsidR="00135DF7" w:rsidRDefault="00135DF7" w:rsidP="0017125F">
      <w:pPr>
        <w:pStyle w:val="ListParagraph"/>
        <w:widowControl w:val="0"/>
        <w:numPr>
          <w:ilvl w:val="0"/>
          <w:numId w:val="16"/>
        </w:numPr>
        <w:tabs>
          <w:tab w:val="left" w:pos="473"/>
        </w:tabs>
        <w:ind w:hanging="502"/>
        <w:contextualSpacing w:val="0"/>
        <w:rPr>
          <w:rFonts w:eastAsia="Times New Roman"/>
          <w:b/>
          <w:bCs/>
        </w:rPr>
      </w:pPr>
      <w:r>
        <w:t xml:space="preserve">endorsing the: </w:t>
      </w:r>
    </w:p>
    <w:p w14:paraId="53272DDF" w14:textId="77777777" w:rsidR="00135DF7" w:rsidRDefault="00135DF7" w:rsidP="0017125F">
      <w:pPr>
        <w:pStyle w:val="ListParagraph"/>
        <w:widowControl w:val="0"/>
        <w:numPr>
          <w:ilvl w:val="1"/>
          <w:numId w:val="16"/>
        </w:numPr>
        <w:tabs>
          <w:tab w:val="left" w:pos="473"/>
        </w:tabs>
        <w:ind w:hanging="502"/>
        <w:contextualSpacing w:val="0"/>
      </w:pPr>
      <w:r>
        <w:t>PSBA Financial Statements 2017-18</w:t>
      </w:r>
    </w:p>
    <w:p w14:paraId="2117AB31" w14:textId="77777777" w:rsidR="00D91CAA" w:rsidRPr="001725EF" w:rsidRDefault="00D91CAA" w:rsidP="0017125F">
      <w:pPr>
        <w:pStyle w:val="ListParagraph"/>
        <w:widowControl w:val="0"/>
        <w:numPr>
          <w:ilvl w:val="1"/>
          <w:numId w:val="16"/>
        </w:numPr>
        <w:tabs>
          <w:tab w:val="left" w:pos="473"/>
        </w:tabs>
        <w:ind w:hanging="502"/>
        <w:contextualSpacing w:val="0"/>
      </w:pPr>
      <w:r w:rsidRPr="001725EF">
        <w:t>Office of the IGEM Financial Statements 2017-18</w:t>
      </w:r>
    </w:p>
    <w:p w14:paraId="240F2ED9" w14:textId="77777777" w:rsidR="00135DF7" w:rsidRPr="00B73477" w:rsidRDefault="000F793E" w:rsidP="002A2A67">
      <w:pPr>
        <w:pStyle w:val="ListParagraph"/>
        <w:widowControl w:val="0"/>
        <w:numPr>
          <w:ilvl w:val="1"/>
          <w:numId w:val="16"/>
        </w:numPr>
        <w:tabs>
          <w:tab w:val="left" w:pos="473"/>
        </w:tabs>
        <w:ind w:hanging="502"/>
        <w:contextualSpacing w:val="0"/>
        <w:rPr>
          <w:rFonts w:eastAsia="Times New Roman"/>
          <w:b/>
          <w:bCs/>
          <w:i/>
        </w:rPr>
      </w:pPr>
      <w:r w:rsidRPr="00B73477">
        <w:rPr>
          <w:i/>
        </w:rPr>
        <w:t xml:space="preserve">PSBA </w:t>
      </w:r>
      <w:r w:rsidR="00135DF7" w:rsidRPr="00B73477">
        <w:rPr>
          <w:i/>
        </w:rPr>
        <w:t>Annual Internal Audit Plan 2018-19</w:t>
      </w:r>
      <w:r w:rsidR="00135DF7">
        <w:t xml:space="preserve"> </w:t>
      </w:r>
      <w:r>
        <w:t xml:space="preserve">and </w:t>
      </w:r>
      <w:r w:rsidR="00135DF7" w:rsidRPr="00B73477">
        <w:rPr>
          <w:i/>
        </w:rPr>
        <w:t>Strategic Internal Audit Plan 2019-2</w:t>
      </w:r>
      <w:r w:rsidRPr="00B73477">
        <w:rPr>
          <w:i/>
        </w:rPr>
        <w:t>2</w:t>
      </w:r>
    </w:p>
    <w:p w14:paraId="75850F93" w14:textId="77777777" w:rsidR="00135DF7" w:rsidRPr="00B73477" w:rsidRDefault="00D91CAA" w:rsidP="0017125F">
      <w:pPr>
        <w:pStyle w:val="ListParagraph"/>
        <w:widowControl w:val="0"/>
        <w:numPr>
          <w:ilvl w:val="1"/>
          <w:numId w:val="16"/>
        </w:numPr>
        <w:tabs>
          <w:tab w:val="left" w:pos="473"/>
        </w:tabs>
        <w:ind w:hanging="502"/>
        <w:contextualSpacing w:val="0"/>
        <w:rPr>
          <w:rFonts w:eastAsia="Times New Roman"/>
          <w:b/>
          <w:bCs/>
          <w:i/>
        </w:rPr>
      </w:pPr>
      <w:r w:rsidRPr="00B73477">
        <w:rPr>
          <w:i/>
        </w:rPr>
        <w:t xml:space="preserve">Office of the </w:t>
      </w:r>
      <w:r w:rsidR="00135DF7" w:rsidRPr="00B73477">
        <w:rPr>
          <w:i/>
        </w:rPr>
        <w:t>IGEM Risk Management Framework and Guide</w:t>
      </w:r>
    </w:p>
    <w:p w14:paraId="5934A381" w14:textId="6A605BC0" w:rsidR="001725EF" w:rsidRPr="00B73477" w:rsidRDefault="001C3299" w:rsidP="00B73477">
      <w:pPr>
        <w:pStyle w:val="ListParagraph"/>
        <w:widowControl w:val="0"/>
        <w:numPr>
          <w:ilvl w:val="1"/>
          <w:numId w:val="16"/>
        </w:numPr>
        <w:tabs>
          <w:tab w:val="left" w:pos="473"/>
        </w:tabs>
        <w:ind w:hanging="502"/>
        <w:contextualSpacing w:val="0"/>
        <w:rPr>
          <w:i/>
        </w:rPr>
      </w:pPr>
      <w:r w:rsidRPr="00B73477">
        <w:rPr>
          <w:i/>
        </w:rPr>
        <w:t>PSBA and Office of the IGEM Fraud and Corruption Prevention and Control Policy and Plan.</w:t>
      </w:r>
      <w:bookmarkStart w:id="83" w:name="_Toc522266473"/>
    </w:p>
    <w:p w14:paraId="537174E9" w14:textId="77777777" w:rsidR="009E196D" w:rsidRPr="009E196D" w:rsidRDefault="009E196D" w:rsidP="009D6B00">
      <w:pPr>
        <w:pStyle w:val="Heading2"/>
      </w:pPr>
      <w:bookmarkStart w:id="84" w:name="_Toc524519417"/>
      <w:r>
        <w:lastRenderedPageBreak/>
        <w:t>Ethics and Code of Conduct</w:t>
      </w:r>
      <w:bookmarkEnd w:id="84"/>
    </w:p>
    <w:p w14:paraId="429F01CF" w14:textId="77777777" w:rsidR="001725EF" w:rsidRDefault="001725EF" w:rsidP="006D0FF1">
      <w:pPr>
        <w:pStyle w:val="Heading3"/>
      </w:pPr>
      <w:r>
        <w:t>Ethical standards</w:t>
      </w:r>
    </w:p>
    <w:p w14:paraId="69154301" w14:textId="796AB65A" w:rsidR="001725EF" w:rsidRPr="002E1D40" w:rsidRDefault="001725EF" w:rsidP="001725EF">
      <w:pPr>
        <w:ind w:left="-142"/>
        <w:rPr>
          <w:rFonts w:eastAsia="Cambria"/>
        </w:rPr>
      </w:pPr>
      <w:r>
        <w:rPr>
          <w:rFonts w:eastAsia="Cambria"/>
        </w:rPr>
        <w:t xml:space="preserve">Human Resources Division’s Employee Relations Unit in PSBA </w:t>
      </w:r>
      <w:r w:rsidRPr="002E1D40">
        <w:rPr>
          <w:rFonts w:eastAsia="Cambria"/>
        </w:rPr>
        <w:t>assess</w:t>
      </w:r>
      <w:r>
        <w:rPr>
          <w:rFonts w:eastAsia="Cambria"/>
        </w:rPr>
        <w:t>es</w:t>
      </w:r>
      <w:r w:rsidRPr="002E1D40">
        <w:rPr>
          <w:rFonts w:eastAsia="Cambria"/>
        </w:rPr>
        <w:t xml:space="preserve"> complaints regarding</w:t>
      </w:r>
      <w:r w:rsidRPr="002E1D40">
        <w:rPr>
          <w:rFonts w:eastAsia="Cambria"/>
          <w:spacing w:val="-22"/>
        </w:rPr>
        <w:t xml:space="preserve"> </w:t>
      </w:r>
      <w:r w:rsidRPr="002E1D40">
        <w:rPr>
          <w:rFonts w:eastAsia="Cambria"/>
        </w:rPr>
        <w:t>the</w:t>
      </w:r>
      <w:r w:rsidRPr="002E1D40">
        <w:rPr>
          <w:rFonts w:eastAsia="Cambria"/>
          <w:spacing w:val="-1"/>
        </w:rPr>
        <w:t xml:space="preserve"> </w:t>
      </w:r>
      <w:r w:rsidRPr="002E1D40">
        <w:rPr>
          <w:rFonts w:eastAsia="Cambria"/>
        </w:rPr>
        <w:t>conduct of staff</w:t>
      </w:r>
      <w:r>
        <w:rPr>
          <w:rFonts w:eastAsia="Cambria"/>
        </w:rPr>
        <w:t xml:space="preserve"> and contractors in the Office. </w:t>
      </w:r>
      <w:r w:rsidRPr="002E1D40">
        <w:rPr>
          <w:rFonts w:eastAsia="Cambria"/>
        </w:rPr>
        <w:t xml:space="preserve">The unit assesses complaints in accordance with the </w:t>
      </w:r>
      <w:r w:rsidRPr="00A35E4D">
        <w:rPr>
          <w:rFonts w:eastAsia="Cambria"/>
          <w:i/>
        </w:rPr>
        <w:t>Management of Complaints</w:t>
      </w:r>
      <w:r w:rsidRPr="00A35E4D">
        <w:rPr>
          <w:rFonts w:eastAsia="Cambria"/>
          <w:i/>
          <w:spacing w:val="-11"/>
        </w:rPr>
        <w:t xml:space="preserve"> a</w:t>
      </w:r>
      <w:r w:rsidRPr="00A35E4D">
        <w:rPr>
          <w:rFonts w:eastAsia="Cambria"/>
          <w:i/>
        </w:rPr>
        <w:t>bout Employees, Volunteers and Contractors Policy and Procedure</w:t>
      </w:r>
      <w:r w:rsidRPr="002E1D40">
        <w:rPr>
          <w:rFonts w:eastAsia="Cambria"/>
        </w:rPr>
        <w:t>. As outlined in the procedure,</w:t>
      </w:r>
      <w:r w:rsidRPr="002E1D40">
        <w:rPr>
          <w:rFonts w:eastAsia="Cambria"/>
          <w:spacing w:val="-33"/>
        </w:rPr>
        <w:t xml:space="preserve"> </w:t>
      </w:r>
      <w:r w:rsidRPr="002E1D40">
        <w:rPr>
          <w:rFonts w:eastAsia="Cambria"/>
        </w:rPr>
        <w:t>certain categories of complaints will be formally investigated by the</w:t>
      </w:r>
      <w:r>
        <w:rPr>
          <w:rFonts w:eastAsia="Cambria"/>
        </w:rPr>
        <w:t xml:space="preserve"> Employee Relations unit</w:t>
      </w:r>
      <w:r w:rsidRPr="002E1D40">
        <w:rPr>
          <w:rFonts w:eastAsia="Cambria"/>
        </w:rPr>
        <w:t>, whil</w:t>
      </w:r>
      <w:r w:rsidR="00C67644">
        <w:rPr>
          <w:rFonts w:eastAsia="Cambria"/>
        </w:rPr>
        <w:t>e</w:t>
      </w:r>
      <w:r w:rsidRPr="002E1D40">
        <w:rPr>
          <w:rFonts w:eastAsia="Cambria"/>
        </w:rPr>
        <w:t xml:space="preserve"> others </w:t>
      </w:r>
      <w:r>
        <w:rPr>
          <w:rFonts w:eastAsia="Cambria"/>
        </w:rPr>
        <w:t xml:space="preserve">may </w:t>
      </w:r>
      <w:r w:rsidRPr="002E1D40">
        <w:rPr>
          <w:rFonts w:eastAsia="Cambria"/>
        </w:rPr>
        <w:t>be referred</w:t>
      </w:r>
      <w:r w:rsidRPr="002E1D40">
        <w:rPr>
          <w:rFonts w:eastAsia="Cambria"/>
          <w:spacing w:val="-35"/>
        </w:rPr>
        <w:t xml:space="preserve"> </w:t>
      </w:r>
      <w:r>
        <w:rPr>
          <w:rFonts w:eastAsia="Cambria"/>
          <w:spacing w:val="-35"/>
        </w:rPr>
        <w:t xml:space="preserve"> </w:t>
      </w:r>
      <w:r w:rsidRPr="002E1D40">
        <w:rPr>
          <w:rFonts w:eastAsia="Cambria"/>
        </w:rPr>
        <w:t xml:space="preserve">back to management to </w:t>
      </w:r>
      <w:r>
        <w:rPr>
          <w:rFonts w:eastAsia="Cambria"/>
        </w:rPr>
        <w:t>address.</w:t>
      </w:r>
    </w:p>
    <w:p w14:paraId="6FB87146" w14:textId="77777777" w:rsidR="001725EF" w:rsidRPr="002E1D40" w:rsidRDefault="001725EF" w:rsidP="001725EF">
      <w:pPr>
        <w:ind w:left="-142"/>
        <w:rPr>
          <w:rFonts w:eastAsia="Arial"/>
        </w:rPr>
      </w:pPr>
      <w:r>
        <w:rPr>
          <w:rFonts w:eastAsia="Arial"/>
        </w:rPr>
        <w:t xml:space="preserve">The unit also </w:t>
      </w:r>
      <w:r w:rsidRPr="002E1D40">
        <w:rPr>
          <w:rFonts w:eastAsia="Arial"/>
        </w:rPr>
        <w:t>has the following key roles and</w:t>
      </w:r>
      <w:r w:rsidRPr="002E1D40">
        <w:rPr>
          <w:rFonts w:eastAsia="Arial"/>
          <w:spacing w:val="-23"/>
        </w:rPr>
        <w:t xml:space="preserve"> </w:t>
      </w:r>
      <w:r w:rsidRPr="002E1D40">
        <w:rPr>
          <w:rFonts w:eastAsia="Arial"/>
        </w:rPr>
        <w:t>responsibilities:</w:t>
      </w:r>
    </w:p>
    <w:p w14:paraId="11DE8A8F" w14:textId="77777777" w:rsidR="001725EF" w:rsidRPr="002E1D40" w:rsidRDefault="001725EF" w:rsidP="001725EF">
      <w:pPr>
        <w:widowControl w:val="0"/>
        <w:numPr>
          <w:ilvl w:val="0"/>
          <w:numId w:val="22"/>
        </w:numPr>
        <w:ind w:left="426" w:hanging="568"/>
        <w:rPr>
          <w:rFonts w:eastAsia="Arial"/>
        </w:rPr>
      </w:pPr>
      <w:r w:rsidRPr="002E1D40">
        <w:rPr>
          <w:rFonts w:eastAsia="Cambria"/>
        </w:rPr>
        <w:t>recording all complaints in the complaints management system except for</w:t>
      </w:r>
      <w:r>
        <w:rPr>
          <w:rFonts w:eastAsia="Cambria"/>
        </w:rPr>
        <w:t xml:space="preserve"> Conduct and Performance Excellence (CaPE) </w:t>
      </w:r>
      <w:r w:rsidRPr="002E1D40">
        <w:rPr>
          <w:rFonts w:eastAsia="Cambria"/>
        </w:rPr>
        <w:t>Category 1 matters (Category 1 matters involve</w:t>
      </w:r>
      <w:r w:rsidRPr="002E1D40">
        <w:rPr>
          <w:rFonts w:eastAsia="Cambria"/>
          <w:spacing w:val="-27"/>
        </w:rPr>
        <w:t xml:space="preserve"> </w:t>
      </w:r>
      <w:r w:rsidRPr="002E1D40">
        <w:rPr>
          <w:rFonts w:eastAsia="Cambria"/>
        </w:rPr>
        <w:t>inappropriate interpersonal conduct with colleagues, clients or other stakeholders, inappropriate</w:t>
      </w:r>
      <w:r w:rsidRPr="002E1D40">
        <w:rPr>
          <w:rFonts w:eastAsia="Cambria"/>
          <w:spacing w:val="-23"/>
        </w:rPr>
        <w:t xml:space="preserve"> </w:t>
      </w:r>
      <w:r w:rsidRPr="002E1D40">
        <w:rPr>
          <w:rFonts w:eastAsia="Cambria"/>
        </w:rPr>
        <w:t>behaviour</w:t>
      </w:r>
      <w:r w:rsidRPr="002E1D40">
        <w:rPr>
          <w:rFonts w:eastAsia="Cambria"/>
          <w:spacing w:val="-1"/>
        </w:rPr>
        <w:t xml:space="preserve"> </w:t>
      </w:r>
      <w:r w:rsidRPr="002E1D40">
        <w:rPr>
          <w:rFonts w:eastAsia="Cambria"/>
        </w:rPr>
        <w:t xml:space="preserve">relating to minor </w:t>
      </w:r>
      <w:r w:rsidRPr="002E1D40">
        <w:rPr>
          <w:rFonts w:eastAsia="Cambria"/>
          <w:bCs/>
        </w:rPr>
        <w:t>management</w:t>
      </w:r>
      <w:r w:rsidRPr="002E1D40">
        <w:rPr>
          <w:rFonts w:eastAsia="Cambria"/>
        </w:rPr>
        <w:t xml:space="preserve"> matters, and performance requiring</w:t>
      </w:r>
      <w:r w:rsidRPr="002E1D40">
        <w:rPr>
          <w:rFonts w:eastAsia="Cambria"/>
          <w:spacing w:val="-11"/>
        </w:rPr>
        <w:t xml:space="preserve"> </w:t>
      </w:r>
      <w:r w:rsidRPr="002E1D40">
        <w:rPr>
          <w:rFonts w:eastAsia="Cambria"/>
        </w:rPr>
        <w:t>improvement)</w:t>
      </w:r>
    </w:p>
    <w:p w14:paraId="21765ACE" w14:textId="77777777" w:rsidR="001725EF" w:rsidRPr="002E1D40" w:rsidRDefault="001725EF" w:rsidP="001725EF">
      <w:pPr>
        <w:widowControl w:val="0"/>
        <w:numPr>
          <w:ilvl w:val="0"/>
          <w:numId w:val="22"/>
        </w:numPr>
        <w:ind w:left="426" w:hanging="568"/>
        <w:rPr>
          <w:rFonts w:eastAsia="Arial"/>
        </w:rPr>
      </w:pPr>
      <w:r w:rsidRPr="002E1D40">
        <w:rPr>
          <w:rFonts w:eastAsia="Cambria"/>
        </w:rPr>
        <w:t>acting as the central liaison point for the C</w:t>
      </w:r>
      <w:r>
        <w:rPr>
          <w:rFonts w:eastAsia="Cambria"/>
        </w:rPr>
        <w:t>rime and Corruption Commission (C</w:t>
      </w:r>
      <w:r w:rsidRPr="002E1D40">
        <w:rPr>
          <w:rFonts w:eastAsia="Cambria"/>
        </w:rPr>
        <w:t>CC</w:t>
      </w:r>
      <w:r>
        <w:rPr>
          <w:rFonts w:eastAsia="Cambria"/>
        </w:rPr>
        <w:t>)</w:t>
      </w:r>
      <w:r w:rsidRPr="002E1D40">
        <w:rPr>
          <w:rFonts w:eastAsia="Cambria"/>
        </w:rPr>
        <w:t xml:space="preserve"> and the Queensland Ombudsman,</w:t>
      </w:r>
      <w:r w:rsidRPr="002E1D40">
        <w:rPr>
          <w:rFonts w:eastAsia="Cambria"/>
          <w:spacing w:val="-35"/>
        </w:rPr>
        <w:t xml:space="preserve"> </w:t>
      </w:r>
      <w:r w:rsidRPr="002E1D40">
        <w:rPr>
          <w:rFonts w:eastAsia="Cambria"/>
        </w:rPr>
        <w:t>and</w:t>
      </w:r>
      <w:r w:rsidRPr="002E1D40">
        <w:rPr>
          <w:rFonts w:eastAsia="Cambria"/>
          <w:spacing w:val="-1"/>
        </w:rPr>
        <w:t xml:space="preserve"> </w:t>
      </w:r>
      <w:r w:rsidRPr="002E1D40">
        <w:rPr>
          <w:rFonts w:eastAsia="Cambria"/>
        </w:rPr>
        <w:t>discharging the age</w:t>
      </w:r>
      <w:r>
        <w:rPr>
          <w:rFonts w:eastAsia="Cambria"/>
        </w:rPr>
        <w:t xml:space="preserve">ncy’s </w:t>
      </w:r>
      <w:r w:rsidRPr="002E1D40">
        <w:rPr>
          <w:rFonts w:eastAsia="Cambria"/>
        </w:rPr>
        <w:t xml:space="preserve">statutory obligations under the </w:t>
      </w:r>
      <w:r w:rsidRPr="002E1D40">
        <w:rPr>
          <w:rFonts w:eastAsia="Cambria"/>
          <w:i/>
        </w:rPr>
        <w:t>Crime and Corruption Act</w:t>
      </w:r>
      <w:r w:rsidRPr="002E1D40">
        <w:rPr>
          <w:rFonts w:eastAsia="Cambria"/>
          <w:i/>
          <w:spacing w:val="-17"/>
        </w:rPr>
        <w:t xml:space="preserve"> </w:t>
      </w:r>
      <w:r w:rsidRPr="002E1D40">
        <w:rPr>
          <w:rFonts w:eastAsia="Cambria"/>
          <w:i/>
        </w:rPr>
        <w:t>2001</w:t>
      </w:r>
    </w:p>
    <w:p w14:paraId="548655EB" w14:textId="77777777" w:rsidR="001725EF" w:rsidRPr="002E1D40" w:rsidRDefault="001725EF" w:rsidP="001725EF">
      <w:pPr>
        <w:widowControl w:val="0"/>
        <w:numPr>
          <w:ilvl w:val="0"/>
          <w:numId w:val="22"/>
        </w:numPr>
        <w:ind w:left="426" w:hanging="568"/>
        <w:rPr>
          <w:rFonts w:eastAsia="Arial"/>
        </w:rPr>
      </w:pPr>
      <w:r>
        <w:rPr>
          <w:rFonts w:eastAsia="Cambria"/>
        </w:rPr>
        <w:t>overseeing the</w:t>
      </w:r>
      <w:r w:rsidRPr="002E1D40">
        <w:rPr>
          <w:rFonts w:eastAsia="Cambria"/>
        </w:rPr>
        <w:t xml:space="preserve"> Public Interest Disclosure framework and assisting th</w:t>
      </w:r>
      <w:r>
        <w:rPr>
          <w:rFonts w:eastAsia="Cambria"/>
        </w:rPr>
        <w:t>e agency</w:t>
      </w:r>
      <w:r w:rsidRPr="002E1D40">
        <w:rPr>
          <w:rFonts w:eastAsia="Cambria"/>
          <w:spacing w:val="-24"/>
        </w:rPr>
        <w:t xml:space="preserve"> </w:t>
      </w:r>
      <w:r w:rsidRPr="002E1D40">
        <w:rPr>
          <w:rFonts w:eastAsia="Cambria"/>
        </w:rPr>
        <w:t xml:space="preserve">in fulfilling </w:t>
      </w:r>
      <w:r>
        <w:rPr>
          <w:rFonts w:eastAsia="Cambria"/>
        </w:rPr>
        <w:t xml:space="preserve">its </w:t>
      </w:r>
      <w:r w:rsidRPr="002E1D40">
        <w:rPr>
          <w:rFonts w:eastAsia="Cambria"/>
        </w:rPr>
        <w:t xml:space="preserve">statutory obligations under the </w:t>
      </w:r>
      <w:r w:rsidRPr="002E1D40">
        <w:rPr>
          <w:rFonts w:eastAsia="Cambria"/>
          <w:i/>
        </w:rPr>
        <w:t>Public Interest Disclosure Act</w:t>
      </w:r>
      <w:r w:rsidRPr="002E1D40">
        <w:rPr>
          <w:rFonts w:eastAsia="Cambria"/>
          <w:i/>
          <w:spacing w:val="-8"/>
        </w:rPr>
        <w:t xml:space="preserve"> </w:t>
      </w:r>
      <w:r w:rsidRPr="002E1D40">
        <w:rPr>
          <w:rFonts w:eastAsia="Cambria"/>
          <w:i/>
        </w:rPr>
        <w:t>2010</w:t>
      </w:r>
    </w:p>
    <w:p w14:paraId="409B0458" w14:textId="77777777" w:rsidR="001725EF" w:rsidRPr="002E1D40" w:rsidRDefault="001725EF" w:rsidP="001725EF">
      <w:pPr>
        <w:widowControl w:val="0"/>
        <w:numPr>
          <w:ilvl w:val="0"/>
          <w:numId w:val="22"/>
        </w:numPr>
        <w:ind w:left="426" w:hanging="568"/>
        <w:rPr>
          <w:rFonts w:eastAsia="Arial"/>
        </w:rPr>
      </w:pPr>
      <w:r w:rsidRPr="002E1D40">
        <w:rPr>
          <w:rFonts w:eastAsia="Cambria"/>
        </w:rPr>
        <w:t>coordinating requests for Internal Review lodged by persons who are dissatisfied with the way their complaints have been handled by the</w:t>
      </w:r>
      <w:r w:rsidRPr="002E1D40">
        <w:rPr>
          <w:rFonts w:eastAsia="Cambria"/>
          <w:spacing w:val="-6"/>
        </w:rPr>
        <w:t xml:space="preserve"> </w:t>
      </w:r>
      <w:r>
        <w:rPr>
          <w:rFonts w:eastAsia="Cambria"/>
        </w:rPr>
        <w:t>agency</w:t>
      </w:r>
      <w:r w:rsidRPr="002E1D40">
        <w:rPr>
          <w:rFonts w:eastAsia="Cambria"/>
        </w:rPr>
        <w:t>.</w:t>
      </w:r>
    </w:p>
    <w:p w14:paraId="160273FF" w14:textId="77777777" w:rsidR="001725EF" w:rsidRPr="00D97DEE" w:rsidRDefault="001725EF" w:rsidP="001725EF">
      <w:pPr>
        <w:keepNext/>
        <w:keepLines/>
        <w:ind w:left="-142"/>
        <w:outlineLvl w:val="2"/>
        <w:rPr>
          <w:rFonts w:ascii="Arial Bold" w:eastAsia="Calibri" w:hAnsi="Arial Bold"/>
          <w:b/>
          <w:bCs/>
          <w:sz w:val="28"/>
          <w:szCs w:val="28"/>
          <w14:ligatures w14:val="standardContextual"/>
        </w:rPr>
      </w:pPr>
      <w:r w:rsidRPr="00D97DEE">
        <w:rPr>
          <w:rFonts w:ascii="Arial Bold" w:eastAsia="Calibri" w:hAnsi="Arial Bold"/>
          <w:b/>
          <w:bCs/>
          <w:sz w:val="28"/>
          <w:szCs w:val="28"/>
          <w14:ligatures w14:val="standardContextual"/>
        </w:rPr>
        <w:t>Code of Conduct</w:t>
      </w:r>
    </w:p>
    <w:p w14:paraId="7728B0CF" w14:textId="77777777" w:rsidR="001725EF" w:rsidRPr="00DA12E5" w:rsidRDefault="001725EF" w:rsidP="001725EF">
      <w:pPr>
        <w:ind w:left="-142"/>
        <w:rPr>
          <w:rFonts w:eastAsia="Cambria"/>
          <w:color w:val="000000"/>
        </w:rPr>
      </w:pPr>
      <w:r>
        <w:rPr>
          <w:rFonts w:eastAsia="Cambria"/>
          <w:color w:val="000000"/>
        </w:rPr>
        <w:t>The Office partnered with the PSBA to deliver corporate induction sessions for new employees in 2017-18. T</w:t>
      </w:r>
      <w:r w:rsidRPr="00666C90">
        <w:rPr>
          <w:rFonts w:eastAsia="Cambria"/>
          <w:color w:val="000000"/>
        </w:rPr>
        <w:t xml:space="preserve">hese </w:t>
      </w:r>
      <w:r>
        <w:rPr>
          <w:rFonts w:eastAsia="Cambria"/>
          <w:color w:val="000000"/>
        </w:rPr>
        <w:t xml:space="preserve">training </w:t>
      </w:r>
      <w:r w:rsidRPr="00666C90">
        <w:rPr>
          <w:rFonts w:eastAsia="Cambria"/>
          <w:color w:val="000000"/>
        </w:rPr>
        <w:t>sessions include</w:t>
      </w:r>
      <w:r>
        <w:rPr>
          <w:rFonts w:eastAsia="Cambria"/>
          <w:color w:val="000000"/>
        </w:rPr>
        <w:t>d</w:t>
      </w:r>
      <w:r w:rsidRPr="00666C90">
        <w:rPr>
          <w:rFonts w:eastAsia="Cambria"/>
          <w:color w:val="000000"/>
        </w:rPr>
        <w:t xml:space="preserve"> information about workplace behaviours as </w:t>
      </w:r>
      <w:r w:rsidRPr="00666C90">
        <w:rPr>
          <w:rFonts w:eastAsia="Arial"/>
        </w:rPr>
        <w:t>well</w:t>
      </w:r>
      <w:r w:rsidRPr="00666C90">
        <w:rPr>
          <w:rFonts w:eastAsia="Cambria"/>
          <w:color w:val="000000"/>
        </w:rPr>
        <w:t xml:space="preserve"> as an overview of </w:t>
      </w:r>
      <w:r w:rsidRPr="00DA12E5">
        <w:rPr>
          <w:rFonts w:eastAsia="Cambria"/>
          <w:color w:val="000000"/>
        </w:rPr>
        <w:t xml:space="preserve">the </w:t>
      </w:r>
      <w:r w:rsidRPr="00A35E4D">
        <w:rPr>
          <w:rFonts w:eastAsia="Cambria"/>
          <w:i/>
          <w:color w:val="000000"/>
        </w:rPr>
        <w:t>Code of Conduct for the Queensland Public Service</w:t>
      </w:r>
      <w:r w:rsidRPr="00DA12E5">
        <w:rPr>
          <w:rFonts w:eastAsia="Cambria"/>
          <w:color w:val="000000"/>
        </w:rPr>
        <w:t xml:space="preserve">. </w:t>
      </w:r>
    </w:p>
    <w:p w14:paraId="6F13F7B9" w14:textId="77777777" w:rsidR="001725EF" w:rsidRDefault="001725EF" w:rsidP="009E196D">
      <w:pPr>
        <w:ind w:left="-142"/>
      </w:pPr>
      <w:r>
        <w:rPr>
          <w:rFonts w:eastAsia="Cambria"/>
          <w:color w:val="000000"/>
        </w:rPr>
        <w:t xml:space="preserve">In addition, Office employees were provided with the opportunity to attend a negative workplace behaviours information session conducted by the PSBA </w:t>
      </w:r>
      <w:r w:rsidRPr="002E2111">
        <w:rPr>
          <w:rFonts w:eastAsia="Cambria"/>
          <w:color w:val="000000"/>
        </w:rPr>
        <w:t>Conflict Management Services</w:t>
      </w:r>
      <w:r>
        <w:rPr>
          <w:rFonts w:eastAsia="Cambria"/>
          <w:color w:val="000000"/>
        </w:rPr>
        <w:t xml:space="preserve"> unit</w:t>
      </w:r>
      <w:r w:rsidRPr="002E2111">
        <w:rPr>
          <w:rFonts w:eastAsia="Cambria"/>
          <w:color w:val="000000"/>
        </w:rPr>
        <w:t>.</w:t>
      </w:r>
    </w:p>
    <w:p w14:paraId="6C135E3A" w14:textId="77777777" w:rsidR="001725EF" w:rsidRDefault="001725EF" w:rsidP="003463C9">
      <w:pPr>
        <w:pStyle w:val="Heading2"/>
      </w:pPr>
    </w:p>
    <w:p w14:paraId="3E12D82C" w14:textId="77777777" w:rsidR="001725EF" w:rsidRDefault="001725EF" w:rsidP="003463C9">
      <w:pPr>
        <w:pStyle w:val="Heading2"/>
      </w:pPr>
    </w:p>
    <w:p w14:paraId="73FBE89F" w14:textId="77777777" w:rsidR="001725EF" w:rsidRDefault="001725EF" w:rsidP="003463C9">
      <w:pPr>
        <w:pStyle w:val="Heading2"/>
      </w:pPr>
    </w:p>
    <w:p w14:paraId="22181765" w14:textId="77777777" w:rsidR="009E196D" w:rsidRDefault="009E196D">
      <w:pPr>
        <w:rPr>
          <w:rFonts w:ascii="Arial Bold" w:eastAsia="Times New Roman" w:hAnsi="Arial Bold"/>
          <w:b/>
          <w:bCs/>
          <w:sz w:val="28"/>
          <w:szCs w:val="28"/>
          <w14:ligatures w14:val="standardContextual"/>
        </w:rPr>
      </w:pPr>
      <w:r>
        <w:br w:type="page"/>
      </w:r>
    </w:p>
    <w:p w14:paraId="11464C72" w14:textId="77777777" w:rsidR="009E196D" w:rsidRPr="009E196D" w:rsidRDefault="009E196D" w:rsidP="009D6B00">
      <w:pPr>
        <w:pStyle w:val="Heading2"/>
      </w:pPr>
      <w:bookmarkStart w:id="85" w:name="_Toc524519418"/>
      <w:r>
        <w:lastRenderedPageBreak/>
        <w:t>Risk management and accountability</w:t>
      </w:r>
      <w:bookmarkEnd w:id="85"/>
      <w:r>
        <w:t xml:space="preserve"> </w:t>
      </w:r>
    </w:p>
    <w:p w14:paraId="50EF6138" w14:textId="77777777" w:rsidR="009E196D" w:rsidRPr="004562B5" w:rsidRDefault="009E196D" w:rsidP="006D0FF1">
      <w:pPr>
        <w:pStyle w:val="Heading3"/>
      </w:pPr>
      <w:r w:rsidRPr="004562B5">
        <w:t>External scrutiny</w:t>
      </w:r>
    </w:p>
    <w:p w14:paraId="0A7176D7" w14:textId="77777777" w:rsidR="009E196D" w:rsidRDefault="00E9405D" w:rsidP="009E196D">
      <w:pPr>
        <w:ind w:left="-142"/>
        <w:rPr>
          <w:szCs w:val="22"/>
        </w:rPr>
      </w:pPr>
      <w:r>
        <w:rPr>
          <w:szCs w:val="22"/>
        </w:rPr>
        <w:t xml:space="preserve">A number of state bodies have been established by legislation to provide independent views and/or assurance of government performance. During 2017-18, the following </w:t>
      </w:r>
      <w:r w:rsidR="00251874">
        <w:rPr>
          <w:szCs w:val="22"/>
        </w:rPr>
        <w:t xml:space="preserve">state bodies examined </w:t>
      </w:r>
      <w:r>
        <w:rPr>
          <w:szCs w:val="22"/>
        </w:rPr>
        <w:t>t</w:t>
      </w:r>
      <w:r w:rsidR="009E196D" w:rsidRPr="003E7F95">
        <w:rPr>
          <w:szCs w:val="22"/>
        </w:rPr>
        <w:t>he operations of the Office or other agencies with findings and issues requiring consideration by, or impacting on, the Office</w:t>
      </w:r>
      <w:r w:rsidR="009E196D">
        <w:rPr>
          <w:szCs w:val="22"/>
        </w:rPr>
        <w:t>.</w:t>
      </w:r>
    </w:p>
    <w:p w14:paraId="3DE8D33F" w14:textId="77777777" w:rsidR="009E196D" w:rsidRPr="00F578BE" w:rsidRDefault="009E196D" w:rsidP="00251874">
      <w:pPr>
        <w:pStyle w:val="BodyText"/>
        <w:widowControl w:val="0"/>
        <w:numPr>
          <w:ilvl w:val="0"/>
          <w:numId w:val="33"/>
        </w:numPr>
        <w:spacing w:before="60" w:after="60" w:line="251" w:lineRule="exact"/>
        <w:ind w:hanging="502"/>
        <w:rPr>
          <w:b/>
        </w:rPr>
      </w:pPr>
      <w:r w:rsidRPr="00F578BE">
        <w:rPr>
          <w:b/>
        </w:rPr>
        <w:t>Crime and Corruption Commission</w:t>
      </w:r>
    </w:p>
    <w:p w14:paraId="27FCFA1F" w14:textId="77777777" w:rsidR="00E9405D" w:rsidRPr="00FE01EE" w:rsidRDefault="009E196D" w:rsidP="00251874">
      <w:pPr>
        <w:autoSpaceDE w:val="0"/>
        <w:autoSpaceDN w:val="0"/>
        <w:ind w:left="360"/>
        <w:rPr>
          <w:rFonts w:eastAsia="Times New Roman"/>
          <w:szCs w:val="22"/>
          <w:lang w:eastAsia="en-AU"/>
        </w:rPr>
      </w:pPr>
      <w:r w:rsidRPr="00FE01EE">
        <w:rPr>
          <w:rFonts w:eastAsia="Times New Roman"/>
          <w:szCs w:val="22"/>
          <w:lang w:eastAsia="en-AU"/>
        </w:rPr>
        <w:t xml:space="preserve">The CCC is a statutory body </w:t>
      </w:r>
      <w:r w:rsidR="00E9405D">
        <w:rPr>
          <w:rFonts w:eastAsia="Times New Roman"/>
          <w:szCs w:val="22"/>
          <w:lang w:eastAsia="en-AU"/>
        </w:rPr>
        <w:t xml:space="preserve">set up </w:t>
      </w:r>
      <w:r w:rsidRPr="00FE01EE">
        <w:rPr>
          <w:rFonts w:eastAsia="Times New Roman"/>
          <w:szCs w:val="22"/>
          <w:lang w:eastAsia="en-AU"/>
        </w:rPr>
        <w:t xml:space="preserve">to combat and reduce the incidence of major crime and corruption in the public sector in Queensland. Its functions and powers are set out in the </w:t>
      </w:r>
      <w:r w:rsidRPr="00E9405D">
        <w:rPr>
          <w:rFonts w:eastAsia="Times New Roman"/>
          <w:i/>
          <w:szCs w:val="22"/>
          <w:lang w:eastAsia="en-AU"/>
        </w:rPr>
        <w:t>Crime and Corruption Act 2001</w:t>
      </w:r>
      <w:r w:rsidRPr="00FE01EE">
        <w:rPr>
          <w:rFonts w:eastAsia="Times New Roman"/>
          <w:szCs w:val="22"/>
          <w:lang w:eastAsia="en-AU"/>
        </w:rPr>
        <w:t xml:space="preserve">. The CCC investigates crime and corruption, has oversight of both the police and the public sector, and protects witnesses. </w:t>
      </w:r>
    </w:p>
    <w:p w14:paraId="2F142FC2" w14:textId="77777777" w:rsidR="009E196D" w:rsidRPr="00FE01EE" w:rsidRDefault="009E196D" w:rsidP="00251874">
      <w:pPr>
        <w:autoSpaceDE w:val="0"/>
        <w:autoSpaceDN w:val="0"/>
        <w:ind w:left="360"/>
        <w:rPr>
          <w:rFonts w:eastAsia="Times New Roman"/>
          <w:szCs w:val="22"/>
          <w:lang w:eastAsia="en-AU"/>
        </w:rPr>
      </w:pPr>
      <w:r w:rsidRPr="00FE01EE">
        <w:rPr>
          <w:rFonts w:eastAsia="Times New Roman"/>
          <w:szCs w:val="22"/>
          <w:lang w:eastAsia="en-AU"/>
        </w:rPr>
        <w:t xml:space="preserve">The </w:t>
      </w:r>
      <w:r w:rsidR="00E9405D">
        <w:rPr>
          <w:rFonts w:eastAsia="Times New Roman"/>
          <w:szCs w:val="22"/>
          <w:lang w:eastAsia="en-AU"/>
        </w:rPr>
        <w:t xml:space="preserve">Office refers </w:t>
      </w:r>
      <w:r w:rsidRPr="00FE01EE">
        <w:rPr>
          <w:rFonts w:eastAsia="Times New Roman"/>
          <w:szCs w:val="22"/>
          <w:lang w:eastAsia="en-AU"/>
        </w:rPr>
        <w:t>to the Commission’s Corruption Prevention Advisory resources, which assist public sector agencies to identify major corruption risks an</w:t>
      </w:r>
      <w:r w:rsidR="00E9405D">
        <w:rPr>
          <w:rFonts w:eastAsia="Times New Roman"/>
          <w:szCs w:val="22"/>
          <w:lang w:eastAsia="en-AU"/>
        </w:rPr>
        <w:t>d develop prevention strategies, as required.</w:t>
      </w:r>
    </w:p>
    <w:p w14:paraId="3478FDAB" w14:textId="77777777" w:rsidR="009E196D" w:rsidRPr="00230430" w:rsidRDefault="009E196D" w:rsidP="00251874">
      <w:pPr>
        <w:pStyle w:val="BodyText"/>
        <w:widowControl w:val="0"/>
        <w:numPr>
          <w:ilvl w:val="0"/>
          <w:numId w:val="33"/>
        </w:numPr>
        <w:ind w:hanging="502"/>
        <w:rPr>
          <w:b/>
          <w:szCs w:val="22"/>
        </w:rPr>
      </w:pPr>
      <w:r w:rsidRPr="00230430">
        <w:rPr>
          <w:b/>
          <w:szCs w:val="22"/>
        </w:rPr>
        <w:t>Queensland Audit Office</w:t>
      </w:r>
    </w:p>
    <w:p w14:paraId="20A85AF2" w14:textId="16478F0F" w:rsidR="009E196D" w:rsidRDefault="009E196D" w:rsidP="00251874">
      <w:pPr>
        <w:autoSpaceDE w:val="0"/>
        <w:autoSpaceDN w:val="0"/>
        <w:ind w:left="330"/>
        <w:rPr>
          <w:rStyle w:val="Hyperlink"/>
          <w:szCs w:val="22"/>
        </w:rPr>
      </w:pPr>
      <w:r w:rsidRPr="00230430">
        <w:rPr>
          <w:szCs w:val="22"/>
        </w:rPr>
        <w:t>The</w:t>
      </w:r>
      <w:r w:rsidRPr="00230430">
        <w:rPr>
          <w:rFonts w:eastAsia="Times New Roman"/>
          <w:szCs w:val="22"/>
          <w:lang w:eastAsia="en-AU"/>
        </w:rPr>
        <w:t xml:space="preserve"> </w:t>
      </w:r>
      <w:r>
        <w:rPr>
          <w:rFonts w:eastAsia="Times New Roman"/>
          <w:szCs w:val="22"/>
          <w:lang w:eastAsia="en-AU"/>
        </w:rPr>
        <w:t>Q</w:t>
      </w:r>
      <w:r w:rsidRPr="00230430">
        <w:rPr>
          <w:rFonts w:eastAsia="Times New Roman"/>
          <w:szCs w:val="22"/>
          <w:lang w:eastAsia="en-AU"/>
        </w:rPr>
        <w:t xml:space="preserve">AO supports the role of the Auditor-General of Queensland in providing Parliament with an independent assessment of the financial management and performance activities of public sector entities. The QAO provides an independent audit service and reports to Parliament to enhance public sector accountability. QAO reports are available online at </w:t>
      </w:r>
      <w:hyperlink r:id="rId53" w:history="1">
        <w:r w:rsidRPr="001134B6">
          <w:rPr>
            <w:rStyle w:val="Hyperlink"/>
            <w:szCs w:val="22"/>
            <w:lang w:eastAsia="en-AU"/>
          </w:rPr>
          <w:t>www.qao.qld.gov.au</w:t>
        </w:r>
      </w:hyperlink>
      <w:r>
        <w:rPr>
          <w:rStyle w:val="Hyperlink"/>
          <w:szCs w:val="22"/>
        </w:rPr>
        <w:t>.</w:t>
      </w:r>
    </w:p>
    <w:p w14:paraId="75B5B6E0" w14:textId="77777777" w:rsidR="009E196D" w:rsidRPr="00F50F04" w:rsidRDefault="009E196D" w:rsidP="005D02D3">
      <w:pPr>
        <w:pStyle w:val="ListParagraph"/>
        <w:numPr>
          <w:ilvl w:val="0"/>
          <w:numId w:val="31"/>
        </w:numPr>
        <w:autoSpaceDE w:val="0"/>
        <w:autoSpaceDN w:val="0"/>
        <w:ind w:hanging="472"/>
        <w:contextualSpacing w:val="0"/>
        <w:rPr>
          <w:rStyle w:val="Hyperlink"/>
          <w:rFonts w:eastAsia="Times New Roman"/>
          <w:i/>
          <w:color w:val="auto"/>
          <w:szCs w:val="22"/>
          <w:u w:val="none"/>
          <w:lang w:eastAsia="en-AU"/>
        </w:rPr>
      </w:pPr>
      <w:r w:rsidRPr="00F50F04">
        <w:rPr>
          <w:rStyle w:val="Hyperlink"/>
          <w:rFonts w:eastAsia="Times New Roman"/>
          <w:color w:val="auto"/>
          <w:szCs w:val="22"/>
          <w:u w:val="none"/>
          <w:lang w:eastAsia="en-AU"/>
        </w:rPr>
        <w:t>Report to Parliament No. 6</w:t>
      </w:r>
      <w:r w:rsidRPr="00F50F04">
        <w:rPr>
          <w:rStyle w:val="Hyperlink"/>
          <w:rFonts w:eastAsia="Times New Roman"/>
          <w:i/>
          <w:color w:val="auto"/>
          <w:szCs w:val="22"/>
          <w:u w:val="none"/>
          <w:lang w:eastAsia="en-AU"/>
        </w:rPr>
        <w:t>: Fraud risk management</w:t>
      </w:r>
    </w:p>
    <w:p w14:paraId="57359BB8" w14:textId="77777777" w:rsidR="009E196D" w:rsidRPr="00614934" w:rsidRDefault="009E196D" w:rsidP="00D835E8">
      <w:pPr>
        <w:autoSpaceDE w:val="0"/>
        <w:autoSpaceDN w:val="0"/>
        <w:ind w:left="802"/>
        <w:rPr>
          <w:rStyle w:val="Hyperlink"/>
          <w:rFonts w:eastAsia="Times New Roman"/>
          <w:color w:val="auto"/>
          <w:szCs w:val="22"/>
          <w:u w:val="none"/>
          <w:lang w:eastAsia="en-AU"/>
        </w:rPr>
      </w:pPr>
      <w:r w:rsidRPr="00614934">
        <w:rPr>
          <w:rStyle w:val="Hyperlink"/>
          <w:rFonts w:eastAsia="Times New Roman"/>
          <w:color w:val="auto"/>
          <w:szCs w:val="22"/>
          <w:u w:val="none"/>
          <w:lang w:eastAsia="en-AU"/>
        </w:rPr>
        <w:t>The QAO assessed if agencies appropriately identify and assess fraud risks, and apply appropriate risk treatments and control activities to adequately manage their exposure to fraud risk; and if agencies’ risk management plans effectively target and address fraud risks and if there were any obvious omissions from risk registers.</w:t>
      </w:r>
    </w:p>
    <w:p w14:paraId="3EA3D4DC" w14:textId="77777777" w:rsidR="007452EC" w:rsidRDefault="009E196D" w:rsidP="00D835E8">
      <w:pPr>
        <w:autoSpaceDE w:val="0"/>
        <w:autoSpaceDN w:val="0"/>
        <w:ind w:left="802"/>
        <w:rPr>
          <w:rStyle w:val="Hyperlink"/>
          <w:rFonts w:eastAsia="Times New Roman"/>
          <w:color w:val="auto"/>
          <w:szCs w:val="22"/>
          <w:u w:val="none"/>
          <w:lang w:eastAsia="en-AU"/>
        </w:rPr>
      </w:pPr>
      <w:r w:rsidRPr="00614934">
        <w:rPr>
          <w:rStyle w:val="Hyperlink"/>
          <w:rFonts w:eastAsia="Times New Roman"/>
          <w:color w:val="auto"/>
          <w:szCs w:val="22"/>
          <w:u w:val="none"/>
          <w:lang w:eastAsia="en-AU"/>
        </w:rPr>
        <w:t xml:space="preserve">The audit </w:t>
      </w:r>
      <w:r>
        <w:rPr>
          <w:rStyle w:val="Hyperlink"/>
          <w:rFonts w:eastAsia="Times New Roman"/>
          <w:color w:val="auto"/>
          <w:szCs w:val="22"/>
          <w:u w:val="none"/>
          <w:lang w:eastAsia="en-AU"/>
        </w:rPr>
        <w:t>included QFES, PSBA</w:t>
      </w:r>
      <w:r w:rsidR="007452EC">
        <w:rPr>
          <w:rStyle w:val="Hyperlink"/>
          <w:rFonts w:eastAsia="Times New Roman"/>
          <w:color w:val="auto"/>
          <w:szCs w:val="22"/>
          <w:u w:val="none"/>
          <w:lang w:eastAsia="en-AU"/>
        </w:rPr>
        <w:t xml:space="preserve"> and QPS. </w:t>
      </w:r>
    </w:p>
    <w:p w14:paraId="2E29CECB" w14:textId="77777777" w:rsidR="009E196D" w:rsidRDefault="007452EC" w:rsidP="00D835E8">
      <w:pPr>
        <w:autoSpaceDE w:val="0"/>
        <w:autoSpaceDN w:val="0"/>
        <w:ind w:left="802"/>
        <w:rPr>
          <w:rStyle w:val="Hyperlink"/>
          <w:rFonts w:eastAsia="Times New Roman"/>
          <w:color w:val="auto"/>
          <w:szCs w:val="22"/>
          <w:u w:val="none"/>
          <w:lang w:eastAsia="en-AU"/>
        </w:rPr>
      </w:pPr>
      <w:r>
        <w:rPr>
          <w:rStyle w:val="Hyperlink"/>
          <w:rFonts w:eastAsia="Times New Roman"/>
          <w:color w:val="auto"/>
          <w:szCs w:val="22"/>
          <w:u w:val="none"/>
          <w:lang w:eastAsia="en-AU"/>
        </w:rPr>
        <w:t xml:space="preserve">The Office was not an audited entity, however the </w:t>
      </w:r>
      <w:r w:rsidR="009E196D" w:rsidRPr="00614934">
        <w:rPr>
          <w:rStyle w:val="Hyperlink"/>
          <w:rFonts w:eastAsia="Times New Roman"/>
          <w:color w:val="auto"/>
          <w:szCs w:val="22"/>
          <w:u w:val="none"/>
          <w:lang w:eastAsia="en-AU"/>
        </w:rPr>
        <w:t xml:space="preserve">audit directed three recommendations at all </w:t>
      </w:r>
      <w:r>
        <w:rPr>
          <w:rStyle w:val="Hyperlink"/>
          <w:rFonts w:eastAsia="Times New Roman"/>
          <w:color w:val="auto"/>
          <w:szCs w:val="22"/>
          <w:u w:val="none"/>
          <w:lang w:eastAsia="en-AU"/>
        </w:rPr>
        <w:t xml:space="preserve">government </w:t>
      </w:r>
      <w:r w:rsidR="005D73A1">
        <w:rPr>
          <w:rStyle w:val="Hyperlink"/>
          <w:rFonts w:eastAsia="Times New Roman"/>
          <w:color w:val="auto"/>
          <w:szCs w:val="22"/>
          <w:u w:val="none"/>
          <w:lang w:eastAsia="en-AU"/>
        </w:rPr>
        <w:t>agencies.</w:t>
      </w:r>
    </w:p>
    <w:p w14:paraId="14EF178B" w14:textId="77777777" w:rsidR="005D73A1" w:rsidRDefault="005D73A1" w:rsidP="00D835E8">
      <w:pPr>
        <w:ind w:left="802"/>
      </w:pPr>
      <w:r>
        <w:t xml:space="preserve">During 2017-18, in partnership with PSBA, the Office developed and implemented a </w:t>
      </w:r>
      <w:r w:rsidRPr="00A35E4D">
        <w:rPr>
          <w:i/>
        </w:rPr>
        <w:t>Fraud and Corruption Prevention and Control Policy and Plan</w:t>
      </w:r>
      <w:r>
        <w:t xml:space="preserve">. The Office intends to conduct a fraud risk assessment in 2018-19. </w:t>
      </w:r>
    </w:p>
    <w:p w14:paraId="3366E226" w14:textId="77777777" w:rsidR="009E196D" w:rsidRPr="00450CAC" w:rsidRDefault="009E196D" w:rsidP="005D02D3">
      <w:pPr>
        <w:pStyle w:val="ListParagraph"/>
        <w:numPr>
          <w:ilvl w:val="0"/>
          <w:numId w:val="31"/>
        </w:numPr>
        <w:autoSpaceDE w:val="0"/>
        <w:autoSpaceDN w:val="0"/>
        <w:ind w:hanging="472"/>
        <w:contextualSpacing w:val="0"/>
        <w:rPr>
          <w:rStyle w:val="Hyperlink"/>
          <w:color w:val="auto"/>
          <w:szCs w:val="22"/>
          <w:u w:val="none"/>
        </w:rPr>
      </w:pPr>
      <w:r w:rsidRPr="00450CAC">
        <w:rPr>
          <w:rStyle w:val="Hyperlink"/>
          <w:color w:val="auto"/>
          <w:szCs w:val="22"/>
          <w:u w:val="none"/>
        </w:rPr>
        <w:t xml:space="preserve">Report to Parliament No. 8: </w:t>
      </w:r>
      <w:r w:rsidRPr="00450CAC">
        <w:rPr>
          <w:rStyle w:val="Hyperlink"/>
          <w:i/>
          <w:color w:val="auto"/>
          <w:szCs w:val="22"/>
          <w:u w:val="none"/>
        </w:rPr>
        <w:t>Confidentiality and disclosure of government contracts</w:t>
      </w:r>
      <w:r w:rsidRPr="00450CAC">
        <w:rPr>
          <w:rStyle w:val="Hyperlink"/>
          <w:color w:val="auto"/>
          <w:szCs w:val="22"/>
          <w:u w:val="none"/>
        </w:rPr>
        <w:t xml:space="preserve"> </w:t>
      </w:r>
    </w:p>
    <w:p w14:paraId="0CFE9D8E" w14:textId="77777777" w:rsidR="009E196D" w:rsidRPr="00450CAC" w:rsidRDefault="009E196D" w:rsidP="00D835E8">
      <w:pPr>
        <w:autoSpaceDE w:val="0"/>
        <w:autoSpaceDN w:val="0"/>
        <w:ind w:left="802"/>
        <w:rPr>
          <w:rStyle w:val="Hyperlink"/>
          <w:color w:val="auto"/>
          <w:szCs w:val="22"/>
          <w:u w:val="none"/>
        </w:rPr>
      </w:pPr>
      <w:r w:rsidRPr="00450CAC">
        <w:rPr>
          <w:rStyle w:val="Hyperlink"/>
          <w:color w:val="auto"/>
          <w:szCs w:val="22"/>
          <w:u w:val="none"/>
        </w:rPr>
        <w:t>This audit examined the use of confidentiality provisions in Queensland Government contracts. It assessed whether selected departments met contract disclosure requirements and included the:</w:t>
      </w:r>
    </w:p>
    <w:p w14:paraId="1EEF0A95" w14:textId="77777777" w:rsidR="009E196D" w:rsidRPr="00945367" w:rsidRDefault="009E196D" w:rsidP="00D835E8">
      <w:pPr>
        <w:pStyle w:val="ListParagraph"/>
        <w:numPr>
          <w:ilvl w:val="0"/>
          <w:numId w:val="34"/>
        </w:numPr>
        <w:autoSpaceDE w:val="0"/>
        <w:autoSpaceDN w:val="0"/>
        <w:ind w:left="1134"/>
        <w:rPr>
          <w:rFonts w:eastAsia="Times New Roman"/>
          <w:szCs w:val="22"/>
          <w:lang w:eastAsia="en-AU"/>
        </w:rPr>
      </w:pPr>
      <w:r w:rsidRPr="00945367">
        <w:rPr>
          <w:rFonts w:eastAsia="Times New Roman"/>
          <w:szCs w:val="22"/>
          <w:lang w:eastAsia="en-AU"/>
        </w:rPr>
        <w:t>adequacy of current guidance available to aid staff in these activities</w:t>
      </w:r>
    </w:p>
    <w:p w14:paraId="5375C03B" w14:textId="77777777" w:rsidR="009E196D" w:rsidRPr="00945367" w:rsidRDefault="009E196D" w:rsidP="00D835E8">
      <w:pPr>
        <w:pStyle w:val="ListParagraph"/>
        <w:numPr>
          <w:ilvl w:val="0"/>
          <w:numId w:val="34"/>
        </w:numPr>
        <w:autoSpaceDE w:val="0"/>
        <w:autoSpaceDN w:val="0"/>
        <w:ind w:left="1134"/>
        <w:rPr>
          <w:rFonts w:eastAsia="Times New Roman"/>
          <w:szCs w:val="22"/>
          <w:lang w:eastAsia="en-AU"/>
        </w:rPr>
      </w:pPr>
      <w:r w:rsidRPr="00945367">
        <w:rPr>
          <w:rFonts w:eastAsia="Times New Roman"/>
          <w:szCs w:val="22"/>
          <w:lang w:eastAsia="en-AU"/>
        </w:rPr>
        <w:t>impact of these activities on accountability and transparency.</w:t>
      </w:r>
    </w:p>
    <w:p w14:paraId="675C89EC" w14:textId="77777777" w:rsidR="009E196D" w:rsidRPr="00450CAC" w:rsidRDefault="009E196D" w:rsidP="00D835E8">
      <w:pPr>
        <w:autoSpaceDE w:val="0"/>
        <w:autoSpaceDN w:val="0"/>
        <w:ind w:left="802"/>
        <w:rPr>
          <w:rStyle w:val="Hyperlink"/>
          <w:color w:val="auto"/>
          <w:szCs w:val="22"/>
          <w:u w:val="none"/>
        </w:rPr>
      </w:pPr>
      <w:r w:rsidRPr="00450CAC">
        <w:rPr>
          <w:rStyle w:val="Hyperlink"/>
          <w:color w:val="auto"/>
          <w:szCs w:val="22"/>
          <w:u w:val="none"/>
        </w:rPr>
        <w:t xml:space="preserve">The Office </w:t>
      </w:r>
      <w:r>
        <w:rPr>
          <w:rStyle w:val="Hyperlink"/>
          <w:color w:val="auto"/>
          <w:szCs w:val="22"/>
          <w:u w:val="none"/>
        </w:rPr>
        <w:t xml:space="preserve">was not an audited entity, </w:t>
      </w:r>
      <w:r w:rsidRPr="00450CAC">
        <w:rPr>
          <w:rStyle w:val="Hyperlink"/>
          <w:color w:val="auto"/>
          <w:szCs w:val="22"/>
          <w:u w:val="none"/>
        </w:rPr>
        <w:t xml:space="preserve">however recommendations </w:t>
      </w:r>
      <w:r w:rsidR="0071190F">
        <w:rPr>
          <w:rStyle w:val="Hyperlink"/>
          <w:color w:val="auto"/>
          <w:szCs w:val="22"/>
          <w:u w:val="none"/>
        </w:rPr>
        <w:t xml:space="preserve">three and four </w:t>
      </w:r>
      <w:r w:rsidRPr="00450CAC">
        <w:rPr>
          <w:rStyle w:val="Hyperlink"/>
          <w:color w:val="auto"/>
          <w:szCs w:val="22"/>
          <w:u w:val="none"/>
        </w:rPr>
        <w:t>of the report were directed at all government agencies.</w:t>
      </w:r>
    </w:p>
    <w:p w14:paraId="6424118D" w14:textId="77777777" w:rsidR="009E196D" w:rsidRPr="00450CAC" w:rsidRDefault="009E196D" w:rsidP="00D835E8">
      <w:pPr>
        <w:autoSpaceDE w:val="0"/>
        <w:autoSpaceDN w:val="0"/>
        <w:ind w:left="802"/>
        <w:rPr>
          <w:rStyle w:val="Hyperlink"/>
          <w:color w:val="auto"/>
          <w:szCs w:val="22"/>
        </w:rPr>
      </w:pPr>
      <w:r w:rsidRPr="00450CAC">
        <w:rPr>
          <w:rStyle w:val="Hyperlink"/>
          <w:color w:val="auto"/>
          <w:szCs w:val="22"/>
          <w:u w:val="none"/>
        </w:rPr>
        <w:t xml:space="preserve">In relation to recommendation </w:t>
      </w:r>
      <w:r w:rsidR="0071190F">
        <w:rPr>
          <w:rStyle w:val="Hyperlink"/>
          <w:color w:val="auto"/>
          <w:szCs w:val="22"/>
          <w:u w:val="none"/>
        </w:rPr>
        <w:t>three</w:t>
      </w:r>
      <w:r w:rsidRPr="00450CAC">
        <w:rPr>
          <w:rStyle w:val="Hyperlink"/>
          <w:color w:val="auto"/>
          <w:szCs w:val="22"/>
          <w:u w:val="none"/>
        </w:rPr>
        <w:t xml:space="preserve"> (agencies to meet the mandatory requirements set out in </w:t>
      </w:r>
      <w:r w:rsidRPr="00450CAC">
        <w:rPr>
          <w:rStyle w:val="Hyperlink"/>
          <w:i/>
          <w:color w:val="auto"/>
          <w:szCs w:val="22"/>
          <w:u w:val="none"/>
        </w:rPr>
        <w:t>Procurement Guidelines – Contract Disclosure),</w:t>
      </w:r>
      <w:r w:rsidRPr="00450CAC">
        <w:rPr>
          <w:rStyle w:val="Hyperlink"/>
          <w:color w:val="auto"/>
          <w:szCs w:val="22"/>
          <w:u w:val="none"/>
        </w:rPr>
        <w:t xml:space="preserve"> the Office u</w:t>
      </w:r>
      <w:r w:rsidR="007452EC">
        <w:rPr>
          <w:rStyle w:val="Hyperlink"/>
          <w:color w:val="auto"/>
          <w:szCs w:val="22"/>
          <w:u w:val="none"/>
        </w:rPr>
        <w:t>ti</w:t>
      </w:r>
      <w:r w:rsidRPr="00450CAC">
        <w:rPr>
          <w:rStyle w:val="Hyperlink"/>
          <w:color w:val="auto"/>
          <w:szCs w:val="22"/>
          <w:u w:val="none"/>
        </w:rPr>
        <w:t>lises the services of the PSBA’s central procurement function t</w:t>
      </w:r>
      <w:r>
        <w:rPr>
          <w:rStyle w:val="Hyperlink"/>
          <w:color w:val="auto"/>
          <w:szCs w:val="22"/>
          <w:u w:val="none"/>
        </w:rPr>
        <w:t xml:space="preserve">o report contract disclosures. </w:t>
      </w:r>
      <w:r w:rsidRPr="00450CAC">
        <w:rPr>
          <w:rStyle w:val="Hyperlink"/>
          <w:color w:val="auto"/>
          <w:szCs w:val="22"/>
          <w:u w:val="none"/>
        </w:rPr>
        <w:t xml:space="preserve">In accordance with the </w:t>
      </w:r>
      <w:r w:rsidR="007452EC">
        <w:rPr>
          <w:rStyle w:val="Hyperlink"/>
          <w:color w:val="auto"/>
          <w:szCs w:val="22"/>
          <w:u w:val="none"/>
        </w:rPr>
        <w:t>G</w:t>
      </w:r>
      <w:r w:rsidRPr="00450CAC">
        <w:rPr>
          <w:rStyle w:val="Hyperlink"/>
          <w:color w:val="auto"/>
          <w:szCs w:val="22"/>
          <w:u w:val="none"/>
        </w:rPr>
        <w:t>uidelines, processes are in place to ensure that the Office has reporting capability to disclose contract payments over $10</w:t>
      </w:r>
      <w:r w:rsidR="007452EC">
        <w:rPr>
          <w:rStyle w:val="Hyperlink"/>
          <w:color w:val="auto"/>
          <w:szCs w:val="22"/>
          <w:u w:val="none"/>
        </w:rPr>
        <w:t xml:space="preserve">,000 </w:t>
      </w:r>
      <w:r w:rsidRPr="00450CAC">
        <w:rPr>
          <w:rStyle w:val="Hyperlink"/>
          <w:color w:val="auto"/>
          <w:szCs w:val="22"/>
          <w:u w:val="none"/>
        </w:rPr>
        <w:t>in value</w:t>
      </w:r>
      <w:r>
        <w:rPr>
          <w:rStyle w:val="Hyperlink"/>
          <w:color w:val="auto"/>
          <w:szCs w:val="22"/>
          <w:u w:val="none"/>
        </w:rPr>
        <w:t>.</w:t>
      </w:r>
      <w:r w:rsidRPr="00450CAC">
        <w:rPr>
          <w:rStyle w:val="Hyperlink"/>
          <w:color w:val="auto"/>
          <w:szCs w:val="22"/>
        </w:rPr>
        <w:t xml:space="preserve"> </w:t>
      </w:r>
    </w:p>
    <w:p w14:paraId="56C240DD" w14:textId="77777777" w:rsidR="009E196D" w:rsidRDefault="0071190F" w:rsidP="00D835E8">
      <w:pPr>
        <w:autoSpaceDE w:val="0"/>
        <w:autoSpaceDN w:val="0"/>
        <w:ind w:left="802"/>
        <w:rPr>
          <w:rStyle w:val="Hyperlink"/>
          <w:color w:val="auto"/>
          <w:szCs w:val="22"/>
          <w:u w:val="none"/>
        </w:rPr>
      </w:pPr>
      <w:r>
        <w:rPr>
          <w:rStyle w:val="Hyperlink"/>
          <w:color w:val="auto"/>
          <w:szCs w:val="22"/>
          <w:u w:val="none"/>
        </w:rPr>
        <w:t>In relation to recommendation four</w:t>
      </w:r>
      <w:r w:rsidR="009E196D" w:rsidRPr="00F50444">
        <w:rPr>
          <w:rStyle w:val="Hyperlink"/>
          <w:color w:val="auto"/>
          <w:szCs w:val="22"/>
          <w:u w:val="none"/>
        </w:rPr>
        <w:t xml:space="preserve"> (agencies to improve their contract registers or contract management systems to ensure a complete record of all awarded contracts), the Office utilises both the whole-of-government finance system (i.e. SAP) and contract management system (i.e. Q-Contracts) to provide a complete record of contract information </w:t>
      </w:r>
      <w:r w:rsidR="007452EC">
        <w:rPr>
          <w:rStyle w:val="Hyperlink"/>
          <w:color w:val="auto"/>
          <w:szCs w:val="22"/>
          <w:u w:val="none"/>
        </w:rPr>
        <w:t>as</w:t>
      </w:r>
      <w:r w:rsidR="009E196D" w:rsidRPr="00F50444">
        <w:rPr>
          <w:rStyle w:val="Hyperlink"/>
          <w:color w:val="auto"/>
          <w:szCs w:val="22"/>
          <w:u w:val="none"/>
        </w:rPr>
        <w:t xml:space="preserve"> required. </w:t>
      </w:r>
      <w:r w:rsidR="009E196D" w:rsidRPr="00F50444">
        <w:rPr>
          <w:rStyle w:val="Hyperlink"/>
          <w:color w:val="auto"/>
          <w:szCs w:val="22"/>
          <w:u w:val="none"/>
        </w:rPr>
        <w:lastRenderedPageBreak/>
        <w:t xml:space="preserve">Through the central procurement function of the PSBA, the Office will look to implement any </w:t>
      </w:r>
      <w:r w:rsidR="009E196D">
        <w:rPr>
          <w:rStyle w:val="Hyperlink"/>
          <w:color w:val="auto"/>
          <w:szCs w:val="22"/>
          <w:u w:val="none"/>
        </w:rPr>
        <w:t xml:space="preserve">system </w:t>
      </w:r>
      <w:r w:rsidR="009E196D" w:rsidRPr="00F50444">
        <w:rPr>
          <w:rStyle w:val="Hyperlink"/>
          <w:color w:val="auto"/>
          <w:szCs w:val="22"/>
          <w:u w:val="none"/>
        </w:rPr>
        <w:t>improvements introduced at the whole-of-government level.</w:t>
      </w:r>
    </w:p>
    <w:p w14:paraId="753F34AD" w14:textId="77777777" w:rsidR="009E196D" w:rsidRPr="00450CAC" w:rsidRDefault="009E196D" w:rsidP="005D02D3">
      <w:pPr>
        <w:pStyle w:val="ListParagraph"/>
        <w:numPr>
          <w:ilvl w:val="0"/>
          <w:numId w:val="31"/>
        </w:numPr>
        <w:autoSpaceDE w:val="0"/>
        <w:autoSpaceDN w:val="0"/>
        <w:ind w:hanging="472"/>
        <w:contextualSpacing w:val="0"/>
        <w:rPr>
          <w:rFonts w:eastAsia="Times New Roman"/>
          <w:szCs w:val="22"/>
          <w:lang w:eastAsia="en-AU"/>
        </w:rPr>
      </w:pPr>
      <w:r w:rsidRPr="00B337FA">
        <w:rPr>
          <w:rStyle w:val="Hyperlink"/>
          <w:color w:val="auto"/>
          <w:szCs w:val="22"/>
          <w:u w:val="none"/>
        </w:rPr>
        <w:t xml:space="preserve">Report to Parliament No. </w:t>
      </w:r>
      <w:r w:rsidRPr="00B337FA">
        <w:rPr>
          <w:rFonts w:eastAsia="Times New Roman"/>
          <w:szCs w:val="22"/>
          <w:lang w:eastAsia="en-AU"/>
        </w:rPr>
        <w:t>11</w:t>
      </w:r>
      <w:r>
        <w:rPr>
          <w:rFonts w:eastAsia="Times New Roman"/>
          <w:szCs w:val="22"/>
          <w:lang w:eastAsia="en-AU"/>
        </w:rPr>
        <w:t xml:space="preserve">: </w:t>
      </w:r>
      <w:r w:rsidRPr="00B337FA">
        <w:rPr>
          <w:rFonts w:eastAsia="Times New Roman"/>
          <w:i/>
          <w:szCs w:val="22"/>
          <w:lang w:eastAsia="en-AU"/>
        </w:rPr>
        <w:t>Queensland</w:t>
      </w:r>
      <w:r w:rsidRPr="00450CAC">
        <w:rPr>
          <w:rFonts w:eastAsia="Times New Roman"/>
          <w:i/>
          <w:szCs w:val="22"/>
          <w:lang w:eastAsia="en-AU"/>
        </w:rPr>
        <w:t xml:space="preserve"> state government: 2016-17 results of financial audits</w:t>
      </w:r>
      <w:r w:rsidRPr="00450CAC">
        <w:rPr>
          <w:rFonts w:eastAsia="Times New Roman"/>
          <w:szCs w:val="22"/>
          <w:lang w:eastAsia="en-AU"/>
        </w:rPr>
        <w:t xml:space="preserve"> </w:t>
      </w:r>
    </w:p>
    <w:p w14:paraId="14D4BB40" w14:textId="77777777" w:rsidR="009E196D" w:rsidRPr="00450CAC" w:rsidRDefault="009E196D" w:rsidP="00D835E8">
      <w:pPr>
        <w:pStyle w:val="ListParagraph"/>
        <w:autoSpaceDE w:val="0"/>
        <w:autoSpaceDN w:val="0"/>
        <w:ind w:left="802"/>
        <w:contextualSpacing w:val="0"/>
        <w:rPr>
          <w:rFonts w:eastAsia="Times New Roman"/>
          <w:szCs w:val="22"/>
          <w:lang w:eastAsia="en-AU"/>
        </w:rPr>
      </w:pPr>
      <w:r w:rsidRPr="00450CAC">
        <w:rPr>
          <w:rFonts w:eastAsia="Times New Roman"/>
          <w:szCs w:val="22"/>
          <w:lang w:eastAsia="en-AU"/>
        </w:rPr>
        <w:t>Most public sector entities prepar</w:t>
      </w:r>
      <w:r>
        <w:rPr>
          <w:rFonts w:eastAsia="Times New Roman"/>
          <w:szCs w:val="22"/>
          <w:lang w:eastAsia="en-AU"/>
        </w:rPr>
        <w:t xml:space="preserve">e annual financial statements. </w:t>
      </w:r>
      <w:r w:rsidRPr="00450CAC">
        <w:rPr>
          <w:rFonts w:eastAsia="Times New Roman"/>
          <w:szCs w:val="22"/>
          <w:lang w:eastAsia="en-AU"/>
        </w:rPr>
        <w:t xml:space="preserve">The Auditor-General </w:t>
      </w:r>
      <w:r w:rsidR="0071190F">
        <w:rPr>
          <w:rFonts w:eastAsia="Times New Roman"/>
          <w:szCs w:val="22"/>
          <w:lang w:eastAsia="en-AU"/>
        </w:rPr>
        <w:t xml:space="preserve">of Queensland </w:t>
      </w:r>
      <w:r w:rsidRPr="00450CAC">
        <w:rPr>
          <w:rFonts w:eastAsia="Times New Roman"/>
          <w:szCs w:val="22"/>
          <w:lang w:eastAsia="en-AU"/>
        </w:rPr>
        <w:t>is responsible for providing Parliament with independent assurance of the financial management of public sector entities by auditi</w:t>
      </w:r>
      <w:r>
        <w:rPr>
          <w:rFonts w:eastAsia="Times New Roman"/>
          <w:szCs w:val="22"/>
          <w:lang w:eastAsia="en-AU"/>
        </w:rPr>
        <w:t xml:space="preserve">ng these financial statements. </w:t>
      </w:r>
      <w:r w:rsidRPr="00450CAC">
        <w:rPr>
          <w:rFonts w:eastAsia="Times New Roman"/>
          <w:szCs w:val="22"/>
          <w:lang w:eastAsia="en-AU"/>
        </w:rPr>
        <w:t>The report summaries QAO’s analysis of the financial position, performance and sustainability of the Queensland state government, and the timeliness and quality of financial reporting by public sector entities controlled by the state government.</w:t>
      </w:r>
    </w:p>
    <w:p w14:paraId="40203707" w14:textId="77777777" w:rsidR="009E196D" w:rsidRPr="00450CAC" w:rsidRDefault="009E196D" w:rsidP="00D835E8">
      <w:pPr>
        <w:autoSpaceDE w:val="0"/>
        <w:autoSpaceDN w:val="0"/>
        <w:ind w:left="802"/>
        <w:rPr>
          <w:rFonts w:eastAsia="Times New Roman"/>
          <w:szCs w:val="22"/>
          <w:lang w:eastAsia="en-AU"/>
        </w:rPr>
      </w:pPr>
      <w:r w:rsidRPr="00450CAC">
        <w:rPr>
          <w:szCs w:val="22"/>
        </w:rPr>
        <w:t xml:space="preserve">No significant findings or issues were identified for the Office in this report.  </w:t>
      </w:r>
    </w:p>
    <w:p w14:paraId="2EEBEAE6" w14:textId="77777777" w:rsidR="006B7747" w:rsidRPr="00A01CB2" w:rsidRDefault="006B7747" w:rsidP="006D0FF1">
      <w:pPr>
        <w:pStyle w:val="Heading3"/>
      </w:pPr>
      <w:bookmarkStart w:id="86" w:name="_Toc441671819"/>
      <w:bookmarkStart w:id="87" w:name="_Toc441672107"/>
      <w:bookmarkStart w:id="88" w:name="_Toc442168894"/>
      <w:bookmarkEnd w:id="83"/>
      <w:r w:rsidRPr="000F0BC6">
        <w:t>I</w:t>
      </w:r>
      <w:r w:rsidR="00556AEA">
        <w:t>nternal audit</w:t>
      </w:r>
    </w:p>
    <w:p w14:paraId="2B9F4DDA" w14:textId="77777777" w:rsidR="006B7747" w:rsidRPr="002B2292" w:rsidRDefault="006B7747" w:rsidP="00F81359">
      <w:pPr>
        <w:ind w:left="-142"/>
        <w:rPr>
          <w:szCs w:val="22"/>
        </w:rPr>
      </w:pPr>
      <w:r w:rsidRPr="002B2292">
        <w:rPr>
          <w:szCs w:val="22"/>
        </w:rPr>
        <w:t xml:space="preserve">The PSBA Internal Audit Unit is an independent unit that provides advice across a wide range of </w:t>
      </w:r>
      <w:r w:rsidRPr="002B2292">
        <w:t>disciplines</w:t>
      </w:r>
      <w:r w:rsidRPr="002B2292">
        <w:rPr>
          <w:szCs w:val="22"/>
        </w:rPr>
        <w:t xml:space="preserve"> including risk, assurance, information technology, finance, compliance and general consulting activities for the </w:t>
      </w:r>
      <w:r w:rsidR="007452EC">
        <w:rPr>
          <w:szCs w:val="22"/>
        </w:rPr>
        <w:t xml:space="preserve">public safety agencies including the Office. </w:t>
      </w:r>
      <w:r w:rsidRPr="002B2292">
        <w:rPr>
          <w:szCs w:val="22"/>
        </w:rPr>
        <w:t xml:space="preserve"> </w:t>
      </w:r>
    </w:p>
    <w:p w14:paraId="197A64F0" w14:textId="77777777" w:rsidR="006B7747" w:rsidRPr="002B2292" w:rsidRDefault="006B7747" w:rsidP="006B7747">
      <w:pPr>
        <w:ind w:left="-142"/>
        <w:rPr>
          <w:szCs w:val="22"/>
        </w:rPr>
      </w:pPr>
      <w:r w:rsidRPr="002B2292">
        <w:t>The</w:t>
      </w:r>
      <w:r w:rsidRPr="002B2292">
        <w:rPr>
          <w:szCs w:val="22"/>
        </w:rPr>
        <w:t xml:space="preserve"> Head of Internal Audit, PSBA is also the nominated Head of</w:t>
      </w:r>
      <w:r w:rsidR="007452EC">
        <w:rPr>
          <w:szCs w:val="22"/>
        </w:rPr>
        <w:t xml:space="preserve"> Internal Audit for the Office </w:t>
      </w:r>
      <w:r w:rsidRPr="002B2292">
        <w:rPr>
          <w:szCs w:val="22"/>
        </w:rPr>
        <w:t xml:space="preserve">in accordance with the </w:t>
      </w:r>
      <w:r w:rsidRPr="002B2292">
        <w:rPr>
          <w:i/>
          <w:szCs w:val="22"/>
        </w:rPr>
        <w:t>Financial Accountability Act</w:t>
      </w:r>
      <w:r w:rsidRPr="002B2292">
        <w:rPr>
          <w:szCs w:val="22"/>
        </w:rPr>
        <w:t xml:space="preserve"> </w:t>
      </w:r>
      <w:r w:rsidRPr="002B2292">
        <w:rPr>
          <w:i/>
          <w:szCs w:val="22"/>
        </w:rPr>
        <w:t>2009</w:t>
      </w:r>
      <w:r w:rsidRPr="002B2292">
        <w:rPr>
          <w:szCs w:val="22"/>
        </w:rPr>
        <w:t>.</w:t>
      </w:r>
    </w:p>
    <w:p w14:paraId="077EFC45" w14:textId="77777777" w:rsidR="006B7747" w:rsidRPr="002B2292" w:rsidRDefault="006B7747" w:rsidP="006B7747">
      <w:pPr>
        <w:ind w:left="-142"/>
        <w:rPr>
          <w:szCs w:val="22"/>
        </w:rPr>
      </w:pPr>
      <w:r w:rsidRPr="002B2292">
        <w:rPr>
          <w:szCs w:val="22"/>
        </w:rPr>
        <w:t xml:space="preserve">The work of the Internal Audit Unit is undertaken in accordance with the Institute of Internal Auditors’ </w:t>
      </w:r>
      <w:r w:rsidRPr="002B2292">
        <w:t>standards</w:t>
      </w:r>
      <w:r w:rsidRPr="002B2292">
        <w:rPr>
          <w:szCs w:val="22"/>
        </w:rPr>
        <w:t xml:space="preserve"> and under an approved charter which is consistent with relevant audit and ethical standards.</w:t>
      </w:r>
    </w:p>
    <w:p w14:paraId="2DA09592" w14:textId="77777777" w:rsidR="006B7747" w:rsidRPr="004A1AF5" w:rsidRDefault="006B7747" w:rsidP="006B7747">
      <w:pPr>
        <w:ind w:left="-142"/>
        <w:rPr>
          <w:kern w:val="0"/>
          <w:szCs w:val="22"/>
          <w:lang w:eastAsia="en-US"/>
        </w:rPr>
      </w:pPr>
      <w:r w:rsidRPr="002B2292">
        <w:rPr>
          <w:szCs w:val="22"/>
        </w:rPr>
        <w:t xml:space="preserve">In </w:t>
      </w:r>
      <w:r w:rsidRPr="002B2292">
        <w:t>accordance</w:t>
      </w:r>
      <w:r w:rsidRPr="002B2292">
        <w:rPr>
          <w:szCs w:val="22"/>
        </w:rPr>
        <w:t xml:space="preserve"> with the </w:t>
      </w:r>
      <w:r w:rsidRPr="002B2292">
        <w:rPr>
          <w:i/>
          <w:iCs/>
          <w:szCs w:val="22"/>
        </w:rPr>
        <w:t xml:space="preserve">Financial and Performance Management Standard 2009, </w:t>
      </w:r>
      <w:r w:rsidRPr="002B2292">
        <w:rPr>
          <w:szCs w:val="22"/>
        </w:rPr>
        <w:t xml:space="preserve">an annual </w:t>
      </w:r>
      <w:r w:rsidR="0071190F">
        <w:rPr>
          <w:szCs w:val="22"/>
        </w:rPr>
        <w:t xml:space="preserve">internal audit plan and three </w:t>
      </w:r>
      <w:r w:rsidRPr="002B2292">
        <w:rPr>
          <w:szCs w:val="22"/>
        </w:rPr>
        <w:t xml:space="preserve">year strategic </w:t>
      </w:r>
      <w:r w:rsidR="0071190F">
        <w:rPr>
          <w:szCs w:val="22"/>
        </w:rPr>
        <w:t xml:space="preserve">audit </w:t>
      </w:r>
      <w:r w:rsidRPr="002B2292">
        <w:rPr>
          <w:szCs w:val="22"/>
        </w:rPr>
        <w:t xml:space="preserve">plan sets the direction of the unit. </w:t>
      </w:r>
      <w:r w:rsidRPr="004A1AF5">
        <w:rPr>
          <w:kern w:val="0"/>
          <w:szCs w:val="22"/>
          <w:lang w:eastAsia="en-US"/>
        </w:rPr>
        <w:t xml:space="preserve">The </w:t>
      </w:r>
      <w:r w:rsidR="007452EC" w:rsidRPr="00E917DE">
        <w:rPr>
          <w:i/>
          <w:kern w:val="0"/>
          <w:szCs w:val="22"/>
          <w:lang w:eastAsia="en-US"/>
        </w:rPr>
        <w:t xml:space="preserve">PSBA </w:t>
      </w:r>
      <w:r w:rsidRPr="00E917DE">
        <w:rPr>
          <w:i/>
          <w:kern w:val="0"/>
          <w:szCs w:val="22"/>
          <w:lang w:eastAsia="en-US"/>
        </w:rPr>
        <w:t>Annual Internal Audit Plan 2017–2018</w:t>
      </w:r>
      <w:r w:rsidRPr="007452EC">
        <w:rPr>
          <w:kern w:val="0"/>
          <w:szCs w:val="22"/>
          <w:lang w:eastAsia="en-US"/>
        </w:rPr>
        <w:t xml:space="preserve"> and </w:t>
      </w:r>
      <w:r w:rsidRPr="00E917DE">
        <w:rPr>
          <w:i/>
          <w:kern w:val="0"/>
          <w:szCs w:val="22"/>
          <w:lang w:eastAsia="en-US"/>
        </w:rPr>
        <w:t>Strategic Internal Audit Plan 2018-</w:t>
      </w:r>
      <w:r w:rsidR="0071190F" w:rsidRPr="00E917DE">
        <w:rPr>
          <w:i/>
          <w:kern w:val="0"/>
          <w:szCs w:val="22"/>
          <w:lang w:eastAsia="en-US"/>
        </w:rPr>
        <w:t>20</w:t>
      </w:r>
      <w:r w:rsidRPr="00E917DE">
        <w:rPr>
          <w:i/>
          <w:kern w:val="0"/>
          <w:szCs w:val="22"/>
          <w:lang w:eastAsia="en-US"/>
        </w:rPr>
        <w:t>21</w:t>
      </w:r>
      <w:r w:rsidRPr="004A1AF5">
        <w:rPr>
          <w:kern w:val="0"/>
          <w:szCs w:val="22"/>
          <w:lang w:eastAsia="en-US"/>
        </w:rPr>
        <w:t xml:space="preserve"> was endorsed by the </w:t>
      </w:r>
      <w:r w:rsidR="003B55A8" w:rsidRPr="003B55A8">
        <w:rPr>
          <w:kern w:val="0"/>
          <w:szCs w:val="22"/>
          <w:lang w:eastAsia="en-US"/>
        </w:rPr>
        <w:t xml:space="preserve">Agency </w:t>
      </w:r>
      <w:r w:rsidRPr="003B55A8">
        <w:rPr>
          <w:kern w:val="0"/>
          <w:szCs w:val="22"/>
          <w:lang w:eastAsia="en-US"/>
        </w:rPr>
        <w:t>Audit and Risk Committees</w:t>
      </w:r>
      <w:r w:rsidRPr="004A1AF5">
        <w:rPr>
          <w:kern w:val="0"/>
          <w:szCs w:val="22"/>
          <w:lang w:eastAsia="en-US"/>
        </w:rPr>
        <w:t xml:space="preserve"> and approved by the Chair of the</w:t>
      </w:r>
      <w:r w:rsidR="007452EC">
        <w:rPr>
          <w:kern w:val="0"/>
          <w:szCs w:val="22"/>
          <w:lang w:eastAsia="en-US"/>
        </w:rPr>
        <w:t xml:space="preserve"> PSBA Board of Management on 25 </w:t>
      </w:r>
      <w:r w:rsidRPr="004A1AF5">
        <w:rPr>
          <w:kern w:val="0"/>
          <w:szCs w:val="22"/>
          <w:lang w:eastAsia="en-US"/>
        </w:rPr>
        <w:t xml:space="preserve">September 2017. </w:t>
      </w:r>
    </w:p>
    <w:p w14:paraId="0496C5DA" w14:textId="77777777" w:rsidR="0071190F" w:rsidRDefault="0071190F" w:rsidP="006B7747">
      <w:pPr>
        <w:ind w:left="-142"/>
        <w:rPr>
          <w:kern w:val="0"/>
          <w:szCs w:val="22"/>
          <w:lang w:eastAsia="en-US"/>
        </w:rPr>
      </w:pPr>
      <w:r>
        <w:rPr>
          <w:kern w:val="0"/>
          <w:szCs w:val="22"/>
          <w:lang w:eastAsia="en-US"/>
        </w:rPr>
        <w:t>The Internal Audit Unit ensures all relevant guidelines, particularly Queensland Tre</w:t>
      </w:r>
      <w:r w:rsidR="004C7C1D">
        <w:rPr>
          <w:kern w:val="0"/>
          <w:szCs w:val="22"/>
          <w:lang w:eastAsia="en-US"/>
        </w:rPr>
        <w:t>asury</w:t>
      </w:r>
      <w:r>
        <w:rPr>
          <w:kern w:val="0"/>
          <w:szCs w:val="22"/>
          <w:lang w:eastAsia="en-US"/>
        </w:rPr>
        <w:t xml:space="preserve">’s </w:t>
      </w:r>
      <w:r w:rsidRPr="0071190F">
        <w:rPr>
          <w:i/>
          <w:kern w:val="0"/>
          <w:szCs w:val="22"/>
          <w:lang w:eastAsia="en-US"/>
        </w:rPr>
        <w:t>Audit Committee Guidelines: Improving Accountability and Performance</w:t>
      </w:r>
      <w:r>
        <w:rPr>
          <w:kern w:val="0"/>
          <w:szCs w:val="22"/>
          <w:lang w:eastAsia="en-US"/>
        </w:rPr>
        <w:t xml:space="preserve">, are adhered to, and the functioning of the unit complies with these guidleines in all material respects. </w:t>
      </w:r>
    </w:p>
    <w:p w14:paraId="2730FE6F" w14:textId="77777777" w:rsidR="006B7747" w:rsidRPr="004A1AF5" w:rsidRDefault="006B7747" w:rsidP="006B7747">
      <w:pPr>
        <w:ind w:left="-142"/>
        <w:rPr>
          <w:kern w:val="0"/>
          <w:szCs w:val="22"/>
          <w:lang w:eastAsia="en-US"/>
        </w:rPr>
      </w:pPr>
      <w:r w:rsidRPr="004A1AF5">
        <w:rPr>
          <w:kern w:val="0"/>
          <w:szCs w:val="22"/>
          <w:lang w:eastAsia="en-US"/>
        </w:rPr>
        <w:t xml:space="preserve">The </w:t>
      </w:r>
      <w:r w:rsidRPr="004A1AF5">
        <w:t>unit</w:t>
      </w:r>
      <w:r w:rsidRPr="004A1AF5">
        <w:rPr>
          <w:kern w:val="0"/>
          <w:szCs w:val="22"/>
          <w:lang w:eastAsia="en-US"/>
        </w:rPr>
        <w:t xml:space="preserve"> assists management to achieve its objectives by using a systematic, disciplined approach to review and improve the effectiveness of risk management and internal control and governance processes, improving the overall level of compliance and accountability. Under its approved charter, the unit can undertake a series of review types including compliance (effectiveness), performance (efficiency), financial management and information technology, to identify areas of risk and to improve outcomes. Systems are in place to ensure the effective, efficient and economic operation of the audit function. </w:t>
      </w:r>
    </w:p>
    <w:p w14:paraId="1D9DB1AE" w14:textId="77777777" w:rsidR="006B7747" w:rsidRPr="004A1AF5" w:rsidRDefault="006B7747" w:rsidP="006B7747">
      <w:pPr>
        <w:ind w:left="-142"/>
        <w:rPr>
          <w:szCs w:val="22"/>
        </w:rPr>
      </w:pPr>
      <w:r w:rsidRPr="004A1AF5">
        <w:rPr>
          <w:kern w:val="0"/>
          <w:szCs w:val="22"/>
          <w:lang w:eastAsia="en-US"/>
        </w:rPr>
        <w:t>Achievements</w:t>
      </w:r>
      <w:r w:rsidRPr="004A1AF5">
        <w:rPr>
          <w:szCs w:val="22"/>
        </w:rPr>
        <w:t xml:space="preserve"> for 2017-18 include:</w:t>
      </w:r>
    </w:p>
    <w:p w14:paraId="45B63362" w14:textId="77777777" w:rsidR="006B7747" w:rsidRPr="004A1AF5" w:rsidRDefault="00C32BB4" w:rsidP="0017125F">
      <w:pPr>
        <w:pStyle w:val="ListParagraph"/>
        <w:numPr>
          <w:ilvl w:val="0"/>
          <w:numId w:val="23"/>
        </w:numPr>
        <w:ind w:hanging="502"/>
        <w:contextualSpacing w:val="0"/>
        <w:rPr>
          <w:rFonts w:eastAsia="Times New Roman"/>
          <w:kern w:val="0"/>
          <w:szCs w:val="22"/>
          <w:lang w:eastAsia="en-AU"/>
        </w:rPr>
      </w:pPr>
      <w:r>
        <w:t xml:space="preserve">progressed </w:t>
      </w:r>
      <w:r w:rsidR="000E623C">
        <w:t>d</w:t>
      </w:r>
      <w:r w:rsidR="006B7747" w:rsidRPr="004A1AF5">
        <w:t xml:space="preserve">elivery of </w:t>
      </w:r>
      <w:r w:rsidR="00A14B7B">
        <w:t>the</w:t>
      </w:r>
      <w:r w:rsidR="006B7747" w:rsidRPr="004A1AF5">
        <w:t xml:space="preserve"> approved </w:t>
      </w:r>
      <w:r w:rsidR="006B7747" w:rsidRPr="00E917DE">
        <w:rPr>
          <w:i/>
        </w:rPr>
        <w:t>Annual Internal Audit Plan 2017</w:t>
      </w:r>
      <w:r w:rsidR="006B7747" w:rsidRPr="00E917DE">
        <w:rPr>
          <w:i/>
        </w:rPr>
        <w:noBreakHyphen/>
        <w:t>18</w:t>
      </w:r>
      <w:r w:rsidR="00BD5D6F">
        <w:t xml:space="preserve"> through a combination of </w:t>
      </w:r>
      <w:r w:rsidR="006B7747" w:rsidRPr="004A1AF5">
        <w:t>in-h</w:t>
      </w:r>
      <w:r w:rsidR="00BD5D6F">
        <w:t xml:space="preserve">ouse and co-sourced </w:t>
      </w:r>
      <w:r w:rsidR="0071190F">
        <w:t>delivery</w:t>
      </w:r>
      <w:r w:rsidR="00BD5D6F">
        <w:t xml:space="preserve">. </w:t>
      </w:r>
      <w:r w:rsidR="006B7747" w:rsidRPr="004A1AF5">
        <w:rPr>
          <w:kern w:val="0"/>
          <w:szCs w:val="22"/>
          <w:lang w:eastAsia="en-US"/>
        </w:rPr>
        <w:t>At 30 June 2018</w:t>
      </w:r>
      <w:r w:rsidR="006B7747">
        <w:rPr>
          <w:kern w:val="0"/>
          <w:szCs w:val="22"/>
          <w:lang w:eastAsia="en-US"/>
        </w:rPr>
        <w:t>,</w:t>
      </w:r>
      <w:r w:rsidR="006B7747" w:rsidRPr="004A1AF5">
        <w:rPr>
          <w:kern w:val="0"/>
          <w:szCs w:val="22"/>
          <w:lang w:eastAsia="en-US"/>
        </w:rPr>
        <w:t xml:space="preserve"> all fieldwork was completed and all audit reports are expected to be finalised by the end of September 2018.  </w:t>
      </w:r>
    </w:p>
    <w:p w14:paraId="79DE01E7" w14:textId="77777777" w:rsidR="006B7747" w:rsidRPr="004A1AF5" w:rsidRDefault="00A14B7B" w:rsidP="0017125F">
      <w:pPr>
        <w:pStyle w:val="ListParagraph"/>
        <w:numPr>
          <w:ilvl w:val="0"/>
          <w:numId w:val="22"/>
        </w:numPr>
        <w:autoSpaceDE w:val="0"/>
        <w:autoSpaceDN w:val="0"/>
        <w:adjustRightInd w:val="0"/>
        <w:ind w:hanging="502"/>
        <w:contextualSpacing w:val="0"/>
        <w:rPr>
          <w:kern w:val="0"/>
          <w:szCs w:val="22"/>
          <w:lang w:eastAsia="en-US"/>
        </w:rPr>
      </w:pPr>
      <w:r>
        <w:rPr>
          <w:kern w:val="0"/>
          <w:szCs w:val="22"/>
          <w:lang w:eastAsia="en-US"/>
        </w:rPr>
        <w:t xml:space="preserve">conducting </w:t>
      </w:r>
      <w:r w:rsidR="003B55A8">
        <w:rPr>
          <w:kern w:val="0"/>
          <w:szCs w:val="22"/>
          <w:lang w:eastAsia="en-US"/>
        </w:rPr>
        <w:t>r</w:t>
      </w:r>
      <w:r w:rsidR="006B7747" w:rsidRPr="003B55A8">
        <w:rPr>
          <w:kern w:val="0"/>
          <w:szCs w:val="22"/>
          <w:lang w:eastAsia="en-US"/>
        </w:rPr>
        <w:t>eviews</w:t>
      </w:r>
      <w:r w:rsidR="003B55A8">
        <w:rPr>
          <w:kern w:val="0"/>
          <w:szCs w:val="22"/>
          <w:lang w:eastAsia="en-US"/>
        </w:rPr>
        <w:t xml:space="preserve"> of the public safety agencies</w:t>
      </w:r>
      <w:r>
        <w:rPr>
          <w:kern w:val="0"/>
          <w:szCs w:val="22"/>
          <w:lang w:eastAsia="en-US"/>
        </w:rPr>
        <w:t>, including those</w:t>
      </w:r>
      <w:r w:rsidR="003B55A8">
        <w:rPr>
          <w:kern w:val="0"/>
          <w:szCs w:val="22"/>
          <w:lang w:eastAsia="en-US"/>
        </w:rPr>
        <w:t xml:space="preserve"> </w:t>
      </w:r>
      <w:r>
        <w:rPr>
          <w:kern w:val="0"/>
          <w:szCs w:val="22"/>
          <w:lang w:eastAsia="en-US"/>
        </w:rPr>
        <w:t>relevant to the Office (</w:t>
      </w:r>
      <w:r w:rsidR="006B7747" w:rsidRPr="004A1AF5">
        <w:rPr>
          <w:kern w:val="0"/>
          <w:szCs w:val="22"/>
          <w:lang w:eastAsia="en-US"/>
        </w:rPr>
        <w:t>cyber-</w:t>
      </w:r>
      <w:r w:rsidR="006B7747" w:rsidRPr="004A1AF5">
        <w:rPr>
          <w:rFonts w:eastAsia="Times New Roman"/>
          <w:kern w:val="0"/>
          <w:szCs w:val="22"/>
          <w:lang w:eastAsia="en-AU"/>
        </w:rPr>
        <w:t>crime prevention; open source intelligence</w:t>
      </w:r>
      <w:r>
        <w:rPr>
          <w:rFonts w:eastAsia="Times New Roman"/>
          <w:kern w:val="0"/>
          <w:szCs w:val="22"/>
          <w:lang w:eastAsia="en-AU"/>
        </w:rPr>
        <w:t>;</w:t>
      </w:r>
      <w:r w:rsidR="006B7747">
        <w:rPr>
          <w:rFonts w:eastAsia="Times New Roman"/>
          <w:kern w:val="0"/>
          <w:szCs w:val="22"/>
          <w:lang w:eastAsia="en-AU"/>
        </w:rPr>
        <w:t xml:space="preserve"> </w:t>
      </w:r>
      <w:r>
        <w:rPr>
          <w:rFonts w:eastAsia="Times New Roman"/>
          <w:kern w:val="0"/>
          <w:szCs w:val="22"/>
          <w:lang w:eastAsia="en-AU"/>
        </w:rPr>
        <w:t>and social engineering)</w:t>
      </w:r>
    </w:p>
    <w:p w14:paraId="54FBE9D0" w14:textId="77777777" w:rsidR="006B7747" w:rsidRDefault="00A14B7B" w:rsidP="0017125F">
      <w:pPr>
        <w:pStyle w:val="ListParagraph"/>
        <w:numPr>
          <w:ilvl w:val="0"/>
          <w:numId w:val="22"/>
        </w:numPr>
        <w:autoSpaceDE w:val="0"/>
        <w:autoSpaceDN w:val="0"/>
        <w:adjustRightInd w:val="0"/>
        <w:ind w:hanging="502"/>
        <w:contextualSpacing w:val="0"/>
        <w:rPr>
          <w:kern w:val="0"/>
          <w:szCs w:val="22"/>
          <w:lang w:eastAsia="en-US"/>
        </w:rPr>
      </w:pPr>
      <w:r>
        <w:rPr>
          <w:kern w:val="0"/>
          <w:szCs w:val="22"/>
          <w:lang w:eastAsia="en-US"/>
        </w:rPr>
        <w:t>completing</w:t>
      </w:r>
      <w:r w:rsidR="006B7747" w:rsidRPr="004A1AF5">
        <w:rPr>
          <w:kern w:val="0"/>
          <w:szCs w:val="22"/>
          <w:lang w:eastAsia="en-US"/>
        </w:rPr>
        <w:t xml:space="preserve"> ad-hoc or unplanned reviews covering emerging risk areas including delegat</w:t>
      </w:r>
      <w:r>
        <w:rPr>
          <w:kern w:val="0"/>
          <w:szCs w:val="22"/>
          <w:lang w:eastAsia="en-US"/>
        </w:rPr>
        <w:t>ions and fraud risk assessment</w:t>
      </w:r>
    </w:p>
    <w:p w14:paraId="5F45A3CE" w14:textId="77777777" w:rsidR="006B7747" w:rsidRDefault="00A14B7B" w:rsidP="0017125F">
      <w:pPr>
        <w:pStyle w:val="ListParagraph"/>
        <w:numPr>
          <w:ilvl w:val="0"/>
          <w:numId w:val="22"/>
        </w:numPr>
        <w:autoSpaceDE w:val="0"/>
        <w:autoSpaceDN w:val="0"/>
        <w:adjustRightInd w:val="0"/>
        <w:ind w:hanging="502"/>
        <w:contextualSpacing w:val="0"/>
        <w:rPr>
          <w:kern w:val="0"/>
          <w:szCs w:val="22"/>
          <w:lang w:eastAsia="en-US"/>
        </w:rPr>
      </w:pPr>
      <w:r>
        <w:rPr>
          <w:kern w:val="0"/>
          <w:szCs w:val="22"/>
          <w:lang w:eastAsia="en-US"/>
        </w:rPr>
        <w:t>i</w:t>
      </w:r>
      <w:r w:rsidR="006B7747" w:rsidRPr="004A1AF5">
        <w:rPr>
          <w:kern w:val="0"/>
          <w:szCs w:val="22"/>
          <w:lang w:eastAsia="en-US"/>
        </w:rPr>
        <w:t>mplement</w:t>
      </w:r>
      <w:r>
        <w:rPr>
          <w:kern w:val="0"/>
          <w:szCs w:val="22"/>
          <w:lang w:eastAsia="en-US"/>
        </w:rPr>
        <w:t xml:space="preserve">ing </w:t>
      </w:r>
      <w:r w:rsidR="006B7747" w:rsidRPr="004A1AF5">
        <w:rPr>
          <w:kern w:val="0"/>
          <w:szCs w:val="22"/>
          <w:lang w:eastAsia="en-US"/>
        </w:rPr>
        <w:t>best practice internal audit processes including:</w:t>
      </w:r>
    </w:p>
    <w:p w14:paraId="0DAA0E79" w14:textId="77777777" w:rsidR="006B7747" w:rsidRPr="004A1AF5" w:rsidRDefault="006B7747" w:rsidP="0017125F">
      <w:pPr>
        <w:pStyle w:val="ListParagraph"/>
        <w:numPr>
          <w:ilvl w:val="1"/>
          <w:numId w:val="22"/>
        </w:numPr>
        <w:autoSpaceDE w:val="0"/>
        <w:autoSpaceDN w:val="0"/>
        <w:adjustRightInd w:val="0"/>
        <w:contextualSpacing w:val="0"/>
        <w:rPr>
          <w:kern w:val="0"/>
          <w:szCs w:val="22"/>
          <w:lang w:eastAsia="en-US"/>
        </w:rPr>
      </w:pPr>
      <w:r w:rsidRPr="004A1AF5">
        <w:rPr>
          <w:kern w:val="0"/>
          <w:szCs w:val="22"/>
          <w:lang w:eastAsia="en-US"/>
        </w:rPr>
        <w:t>undertaking an internal audit maturity assessment</w:t>
      </w:r>
    </w:p>
    <w:p w14:paraId="4FF9FC5E" w14:textId="77777777" w:rsidR="006B7747" w:rsidRPr="004A1AF5" w:rsidRDefault="006B7747" w:rsidP="0017125F">
      <w:pPr>
        <w:pStyle w:val="ListParagraph"/>
        <w:numPr>
          <w:ilvl w:val="1"/>
          <w:numId w:val="22"/>
        </w:numPr>
        <w:autoSpaceDE w:val="0"/>
        <w:autoSpaceDN w:val="0"/>
        <w:adjustRightInd w:val="0"/>
        <w:contextualSpacing w:val="0"/>
        <w:rPr>
          <w:kern w:val="0"/>
          <w:szCs w:val="22"/>
          <w:lang w:eastAsia="en-US"/>
        </w:rPr>
      </w:pPr>
      <w:r w:rsidRPr="004A1AF5">
        <w:rPr>
          <w:kern w:val="0"/>
          <w:szCs w:val="22"/>
          <w:lang w:eastAsia="en-US"/>
        </w:rPr>
        <w:t>develop</w:t>
      </w:r>
      <w:r>
        <w:rPr>
          <w:kern w:val="0"/>
          <w:szCs w:val="22"/>
          <w:lang w:eastAsia="en-US"/>
        </w:rPr>
        <w:t>ing</w:t>
      </w:r>
      <w:r w:rsidRPr="004A1AF5">
        <w:rPr>
          <w:kern w:val="0"/>
          <w:szCs w:val="22"/>
          <w:lang w:eastAsia="en-US"/>
        </w:rPr>
        <w:t xml:space="preserve"> an </w:t>
      </w:r>
      <w:r w:rsidR="00A14B7B">
        <w:rPr>
          <w:kern w:val="0"/>
          <w:szCs w:val="22"/>
          <w:lang w:eastAsia="en-US"/>
        </w:rPr>
        <w:t>i</w:t>
      </w:r>
      <w:r w:rsidRPr="004A1AF5">
        <w:rPr>
          <w:kern w:val="0"/>
          <w:szCs w:val="22"/>
          <w:lang w:eastAsia="en-US"/>
        </w:rPr>
        <w:t>ndustry</w:t>
      </w:r>
      <w:r w:rsidR="00B759FF">
        <w:rPr>
          <w:kern w:val="0"/>
          <w:szCs w:val="22"/>
          <w:lang w:eastAsia="en-US"/>
        </w:rPr>
        <w:t>-</w:t>
      </w:r>
      <w:r w:rsidRPr="004A1AF5">
        <w:rPr>
          <w:kern w:val="0"/>
          <w:szCs w:val="22"/>
          <w:lang w:eastAsia="en-US"/>
        </w:rPr>
        <w:t xml:space="preserve">leading </w:t>
      </w:r>
      <w:r>
        <w:rPr>
          <w:kern w:val="0"/>
          <w:szCs w:val="22"/>
          <w:lang w:eastAsia="en-US"/>
        </w:rPr>
        <w:t>i</w:t>
      </w:r>
      <w:r w:rsidRPr="004A1AF5">
        <w:rPr>
          <w:kern w:val="0"/>
          <w:szCs w:val="22"/>
          <w:lang w:eastAsia="en-US"/>
        </w:rPr>
        <w:t>nternal audit strategy and internal audit lifecycle</w:t>
      </w:r>
    </w:p>
    <w:p w14:paraId="445375C5" w14:textId="77777777" w:rsidR="006B7747" w:rsidRPr="004A1AF5" w:rsidRDefault="006B7747" w:rsidP="0017125F">
      <w:pPr>
        <w:pStyle w:val="ListParagraph"/>
        <w:numPr>
          <w:ilvl w:val="1"/>
          <w:numId w:val="22"/>
        </w:numPr>
        <w:autoSpaceDE w:val="0"/>
        <w:autoSpaceDN w:val="0"/>
        <w:adjustRightInd w:val="0"/>
        <w:contextualSpacing w:val="0"/>
        <w:rPr>
          <w:kern w:val="0"/>
          <w:szCs w:val="22"/>
          <w:lang w:eastAsia="en-US"/>
        </w:rPr>
      </w:pPr>
      <w:r w:rsidRPr="004A1AF5">
        <w:rPr>
          <w:kern w:val="0"/>
          <w:szCs w:val="22"/>
          <w:lang w:eastAsia="en-US"/>
        </w:rPr>
        <w:t>formalis</w:t>
      </w:r>
      <w:r>
        <w:rPr>
          <w:kern w:val="0"/>
          <w:szCs w:val="22"/>
          <w:lang w:eastAsia="en-US"/>
        </w:rPr>
        <w:t>ing</w:t>
      </w:r>
      <w:r w:rsidRPr="004A1AF5">
        <w:rPr>
          <w:kern w:val="0"/>
          <w:szCs w:val="22"/>
          <w:lang w:eastAsia="en-US"/>
        </w:rPr>
        <w:t xml:space="preserve"> an internal audit quality assurance and improvement program</w:t>
      </w:r>
      <w:r w:rsidR="0071190F">
        <w:rPr>
          <w:kern w:val="0"/>
          <w:szCs w:val="22"/>
          <w:lang w:eastAsia="en-US"/>
        </w:rPr>
        <w:t>.</w:t>
      </w:r>
    </w:p>
    <w:bookmarkEnd w:id="86"/>
    <w:bookmarkEnd w:id="87"/>
    <w:bookmarkEnd w:id="88"/>
    <w:p w14:paraId="50D9D551" w14:textId="77777777" w:rsidR="00A53AB7" w:rsidRDefault="006E0CA1" w:rsidP="006D0FF1">
      <w:pPr>
        <w:pStyle w:val="Heading3"/>
      </w:pPr>
      <w:r>
        <w:lastRenderedPageBreak/>
        <w:t>Risk management</w:t>
      </w:r>
    </w:p>
    <w:p w14:paraId="4FD95A98" w14:textId="77777777" w:rsidR="00E73B7B" w:rsidRDefault="00E73B7B" w:rsidP="00E73B7B">
      <w:pPr>
        <w:ind w:left="-142"/>
      </w:pPr>
      <w:r>
        <w:t>Effective management of risks and opportunities is considered by the Office as critical to maximising organisational performance in the achievement of strategic objectives. The Office is cont</w:t>
      </w:r>
      <w:r w:rsidR="004E1443">
        <w:t xml:space="preserve">inuing </w:t>
      </w:r>
      <w:r>
        <w:t>to build strong, proactive and effective risk management processes that support quality and responsive service delivery and optimal resource management.</w:t>
      </w:r>
    </w:p>
    <w:p w14:paraId="60754EB6" w14:textId="77777777" w:rsidR="00E73B7B" w:rsidRDefault="006E0CA1" w:rsidP="00F413C1">
      <w:pPr>
        <w:ind w:left="-142"/>
      </w:pPr>
      <w:r>
        <w:t xml:space="preserve">The Office’s risk management approach is governed by the </w:t>
      </w:r>
      <w:r w:rsidRPr="00E917DE">
        <w:rPr>
          <w:i/>
        </w:rPr>
        <w:t xml:space="preserve">Risk Management Framework </w:t>
      </w:r>
      <w:r w:rsidR="00152FBA" w:rsidRPr="00E917DE">
        <w:rPr>
          <w:i/>
        </w:rPr>
        <w:t xml:space="preserve">and Guide to Strategic and Operational </w:t>
      </w:r>
      <w:r w:rsidR="00F413C1" w:rsidRPr="00E917DE">
        <w:rPr>
          <w:i/>
        </w:rPr>
        <w:t>Risk Management</w:t>
      </w:r>
      <w:r w:rsidR="00F413C1">
        <w:t>.</w:t>
      </w:r>
      <w:r w:rsidR="00031A8F">
        <w:t xml:space="preserve"> The framework and guide provide a consistent approach to identifying, mitigating and monitoring organisational risk, and ensure the Office complies with the risk management requirements in the </w:t>
      </w:r>
      <w:r w:rsidR="00031A8F" w:rsidRPr="00031A8F">
        <w:rPr>
          <w:i/>
        </w:rPr>
        <w:t>Financial Accountability Act 2009</w:t>
      </w:r>
      <w:r w:rsidR="00031A8F">
        <w:t xml:space="preserve">. </w:t>
      </w:r>
      <w:r w:rsidR="00E73B7B" w:rsidRPr="00E73B7B">
        <w:t xml:space="preserve"> </w:t>
      </w:r>
    </w:p>
    <w:p w14:paraId="0F597FA0" w14:textId="77777777" w:rsidR="00E73B7B" w:rsidRDefault="00E73B7B" w:rsidP="006E0CA1">
      <w:pPr>
        <w:ind w:left="-142"/>
      </w:pPr>
      <w:r>
        <w:t xml:space="preserve">During 2017-18, in partnership with PSBA, the Office developed and implemented a </w:t>
      </w:r>
      <w:r w:rsidRPr="00E917DE">
        <w:rPr>
          <w:i/>
        </w:rPr>
        <w:t>Fraud and Corruption Prevention and Control Policy and Plan</w:t>
      </w:r>
      <w:r>
        <w:t xml:space="preserve">. </w:t>
      </w:r>
    </w:p>
    <w:p w14:paraId="7781D8FD" w14:textId="77777777" w:rsidR="00E73B7B" w:rsidRDefault="00E73B7B" w:rsidP="006E0CA1">
      <w:pPr>
        <w:ind w:left="-142"/>
      </w:pPr>
      <w:r>
        <w:t xml:space="preserve">Strategic and operational risks are monitored and reviewed by the </w:t>
      </w:r>
      <w:r w:rsidR="00AF244E">
        <w:t xml:space="preserve">Office’s </w:t>
      </w:r>
      <w:r>
        <w:t>Executive Management Committee on a regular basis to ensure the Office is well placed to deliver its strategic objectives and operational activities.</w:t>
      </w:r>
      <w:r w:rsidR="00AF244E">
        <w:t xml:space="preserve"> </w:t>
      </w:r>
    </w:p>
    <w:p w14:paraId="4B6E6722" w14:textId="77777777" w:rsidR="00E73B7B" w:rsidRDefault="00E73B7B" w:rsidP="006E0CA1">
      <w:pPr>
        <w:ind w:left="-142"/>
      </w:pPr>
      <w:r>
        <w:t xml:space="preserve">The Office sought support and advice from PSBA in relation to risk management matters where necessary, and attended relevant training and briefing activities. </w:t>
      </w:r>
    </w:p>
    <w:p w14:paraId="65775BB1" w14:textId="77777777" w:rsidR="006E0CA1" w:rsidRDefault="006E0CA1" w:rsidP="006D0FF1">
      <w:pPr>
        <w:pStyle w:val="Heading3"/>
        <w:rPr>
          <w:rFonts w:ascii="Arial Bold" w:hAnsi="Arial Bold"/>
        </w:rPr>
      </w:pPr>
      <w:r>
        <w:t>Information systems and recordkeeping</w:t>
      </w:r>
    </w:p>
    <w:p w14:paraId="2F05750F" w14:textId="77777777" w:rsidR="00A53C94" w:rsidRDefault="00E82933" w:rsidP="006E0CA1">
      <w:pPr>
        <w:ind w:left="-142"/>
      </w:pPr>
      <w:r>
        <w:t xml:space="preserve">PSBA, as the provider of corporate support services to the Office, is responsible for recordkeeping and information systems. </w:t>
      </w:r>
      <w:r w:rsidR="00F75AA4">
        <w:t xml:space="preserve">The </w:t>
      </w:r>
      <w:r w:rsidR="006E0CA1">
        <w:t xml:space="preserve">Office </w:t>
      </w:r>
      <w:r w:rsidR="00F75AA4">
        <w:t>receives advice and assistance from PSBA through a dedicated records management team</w:t>
      </w:r>
      <w:r w:rsidR="00A53C94">
        <w:t>, known as the Information Management Unit</w:t>
      </w:r>
      <w:r w:rsidR="00F75AA4">
        <w:t xml:space="preserve">. </w:t>
      </w:r>
    </w:p>
    <w:p w14:paraId="7F689F88" w14:textId="77777777" w:rsidR="006E0CA1" w:rsidRDefault="00F75AA4" w:rsidP="006E0CA1">
      <w:pPr>
        <w:ind w:left="-142"/>
      </w:pPr>
      <w:r>
        <w:t>I</w:t>
      </w:r>
      <w:r w:rsidR="004E1443">
        <w:t>n</w:t>
      </w:r>
      <w:r>
        <w:t xml:space="preserve"> 2017-18, the </w:t>
      </w:r>
      <w:r w:rsidR="006E0CA1">
        <w:t xml:space="preserve">Office </w:t>
      </w:r>
      <w:r>
        <w:t>continued</w:t>
      </w:r>
      <w:r w:rsidR="006E0CA1">
        <w:t xml:space="preserve"> to use Mincor for ministerial correspondence, network drives to manage electronic document</w:t>
      </w:r>
      <w:r w:rsidR="00815C43">
        <w:t>ation and RecF</w:t>
      </w:r>
      <w:r w:rsidR="006E0CA1">
        <w:t xml:space="preserve">ind to manage hard copy records. </w:t>
      </w:r>
    </w:p>
    <w:p w14:paraId="6BBD1180" w14:textId="77777777" w:rsidR="00A53C94" w:rsidRDefault="00F75AA4" w:rsidP="00A53C94">
      <w:pPr>
        <w:ind w:left="-142"/>
      </w:pPr>
      <w:r>
        <w:t>Information on recordkeeping responsibilities is communicated to all staff through the Office’s A</w:t>
      </w:r>
      <w:r w:rsidR="00E75527">
        <w:t xml:space="preserve">EDP </w:t>
      </w:r>
      <w:r>
        <w:t xml:space="preserve">and other internal processes. </w:t>
      </w:r>
    </w:p>
    <w:p w14:paraId="4F554752" w14:textId="77777777" w:rsidR="00A53C94" w:rsidRDefault="00A53C94" w:rsidP="00A53C94">
      <w:pPr>
        <w:ind w:left="-142"/>
      </w:pPr>
      <w:r>
        <w:t xml:space="preserve">No Office records were transferred to Queensland State Archives during 2017-18. </w:t>
      </w:r>
    </w:p>
    <w:p w14:paraId="159DFD51" w14:textId="77777777" w:rsidR="00F75AA4" w:rsidRDefault="00F75AA4" w:rsidP="006E0CA1">
      <w:pPr>
        <w:ind w:left="-142"/>
      </w:pPr>
    </w:p>
    <w:p w14:paraId="690BCECF" w14:textId="77777777" w:rsidR="00D15289" w:rsidRDefault="00D15289">
      <w:r>
        <w:rPr>
          <w:b/>
          <w:bCs/>
        </w:rPr>
        <w:br w:type="page"/>
      </w:r>
    </w:p>
    <w:p w14:paraId="0509D8DC" w14:textId="77777777" w:rsidR="00495018" w:rsidRPr="009E196D" w:rsidRDefault="00495018" w:rsidP="009D6B00">
      <w:pPr>
        <w:pStyle w:val="Heading2"/>
      </w:pPr>
      <w:bookmarkStart w:id="89" w:name="_Toc524519419"/>
      <w:bookmarkStart w:id="90" w:name="_Toc415049806"/>
      <w:bookmarkStart w:id="91" w:name="_Toc415050358"/>
      <w:bookmarkStart w:id="92" w:name="_Toc441671817"/>
      <w:bookmarkStart w:id="93" w:name="_Toc441672105"/>
      <w:bookmarkStart w:id="94" w:name="_Toc442168892"/>
      <w:r>
        <w:lastRenderedPageBreak/>
        <w:t>Human resources</w:t>
      </w:r>
      <w:bookmarkEnd w:id="89"/>
      <w:r>
        <w:t xml:space="preserve"> </w:t>
      </w:r>
    </w:p>
    <w:bookmarkEnd w:id="90"/>
    <w:bookmarkEnd w:id="91"/>
    <w:bookmarkEnd w:id="92"/>
    <w:bookmarkEnd w:id="93"/>
    <w:bookmarkEnd w:id="94"/>
    <w:p w14:paraId="65D1147C" w14:textId="77777777" w:rsidR="00B4292B" w:rsidRPr="000657A4" w:rsidRDefault="008F6C51" w:rsidP="00B4292B">
      <w:pPr>
        <w:ind w:left="-142"/>
        <w:rPr>
          <w:b/>
          <w:sz w:val="28"/>
          <w:szCs w:val="28"/>
        </w:rPr>
      </w:pPr>
      <w:r>
        <w:rPr>
          <w:b/>
          <w:sz w:val="28"/>
          <w:szCs w:val="28"/>
        </w:rPr>
        <w:t xml:space="preserve">Strategic workforce </w:t>
      </w:r>
      <w:r w:rsidR="00B4292B">
        <w:rPr>
          <w:b/>
          <w:sz w:val="28"/>
          <w:szCs w:val="28"/>
        </w:rPr>
        <w:t xml:space="preserve">planning </w:t>
      </w:r>
      <w:r w:rsidR="00B4292B" w:rsidRPr="000657A4">
        <w:rPr>
          <w:b/>
          <w:sz w:val="28"/>
          <w:szCs w:val="28"/>
        </w:rPr>
        <w:t>and performance</w:t>
      </w:r>
    </w:p>
    <w:p w14:paraId="210BCB77" w14:textId="77777777" w:rsidR="00B4292B" w:rsidRPr="0036663B" w:rsidRDefault="00B4292B" w:rsidP="00B4292B">
      <w:pPr>
        <w:keepNext/>
        <w:keepLines/>
        <w:ind w:left="-142"/>
        <w:outlineLvl w:val="2"/>
        <w:rPr>
          <w:rFonts w:eastAsia="Calibri"/>
          <w:bCs/>
          <w:sz w:val="28"/>
          <w:szCs w:val="28"/>
          <w14:ligatures w14:val="standardContextual"/>
        </w:rPr>
      </w:pPr>
      <w:r w:rsidRPr="0036663B">
        <w:rPr>
          <w:rFonts w:eastAsia="Calibri"/>
          <w:bCs/>
          <w:szCs w:val="22"/>
          <w14:ligatures w14:val="standardContextual"/>
        </w:rPr>
        <w:t xml:space="preserve">The </w:t>
      </w:r>
      <w:r>
        <w:rPr>
          <w:rFonts w:eastAsia="Calibri"/>
          <w:bCs/>
          <w14:ligatures w14:val="standardContextual"/>
        </w:rPr>
        <w:t>PSBA</w:t>
      </w:r>
      <w:r w:rsidRPr="0036663B">
        <w:rPr>
          <w:rFonts w:eastAsia="Calibri"/>
          <w:bCs/>
          <w:szCs w:val="22"/>
          <w14:ligatures w14:val="standardContextual"/>
        </w:rPr>
        <w:t xml:space="preserve"> </w:t>
      </w:r>
      <w:r>
        <w:rPr>
          <w:rFonts w:eastAsia="Calibri"/>
          <w:bCs/>
          <w14:ligatures w14:val="standardContextual"/>
        </w:rPr>
        <w:t>delivers quality human resou</w:t>
      </w:r>
      <w:r w:rsidR="005F497A">
        <w:rPr>
          <w:rFonts w:eastAsia="Calibri"/>
          <w:bCs/>
          <w14:ligatures w14:val="standardContextual"/>
        </w:rPr>
        <w:t>rce (HR) services to the Office.</w:t>
      </w:r>
      <w:r>
        <w:rPr>
          <w:rFonts w:eastAsia="Calibri"/>
          <w:bCs/>
          <w14:ligatures w14:val="standardContextual"/>
        </w:rPr>
        <w:t xml:space="preserve"> These services are delivered under a </w:t>
      </w:r>
      <w:r w:rsidRPr="00E917DE">
        <w:rPr>
          <w:rFonts w:eastAsia="Calibri"/>
          <w:bCs/>
          <w14:ligatures w14:val="standardContextual"/>
        </w:rPr>
        <w:t>Service Agreement and Catalogue</w:t>
      </w:r>
      <w:r>
        <w:rPr>
          <w:rFonts w:eastAsia="Calibri"/>
          <w:bCs/>
          <w14:ligatures w14:val="standardContextual"/>
        </w:rPr>
        <w:t xml:space="preserve">, which clearly outlines the responsibilities of </w:t>
      </w:r>
      <w:r w:rsidR="005F497A">
        <w:rPr>
          <w:rFonts w:eastAsia="Calibri"/>
          <w:bCs/>
          <w14:ligatures w14:val="standardContextual"/>
        </w:rPr>
        <w:t xml:space="preserve">both agencies </w:t>
      </w:r>
      <w:r>
        <w:rPr>
          <w:rFonts w:eastAsia="Calibri"/>
          <w:bCs/>
          <w14:ligatures w14:val="standardContextual"/>
        </w:rPr>
        <w:t xml:space="preserve">in </w:t>
      </w:r>
      <w:r w:rsidR="005F497A">
        <w:rPr>
          <w:rFonts w:eastAsia="Calibri"/>
          <w:bCs/>
          <w14:ligatures w14:val="standardContextual"/>
        </w:rPr>
        <w:t>relation to</w:t>
      </w:r>
      <w:r>
        <w:rPr>
          <w:rFonts w:eastAsia="Calibri"/>
          <w:bCs/>
          <w14:ligatures w14:val="standardContextual"/>
        </w:rPr>
        <w:t xml:space="preserve"> HR services to suppor</w:t>
      </w:r>
      <w:r w:rsidR="005F497A">
        <w:rPr>
          <w:rFonts w:eastAsia="Calibri"/>
          <w:bCs/>
          <w14:ligatures w14:val="standardContextual"/>
        </w:rPr>
        <w:t xml:space="preserve">t the achievement of the Office’s </w:t>
      </w:r>
      <w:r>
        <w:rPr>
          <w:rFonts w:eastAsia="Calibri"/>
          <w:bCs/>
          <w14:ligatures w14:val="standardContextual"/>
        </w:rPr>
        <w:t xml:space="preserve">strategic workforce priorities. </w:t>
      </w:r>
    </w:p>
    <w:p w14:paraId="5C8955B7" w14:textId="77777777" w:rsidR="00B4292B" w:rsidRPr="00C44FEE" w:rsidRDefault="00B4292B" w:rsidP="00C44FEE">
      <w:pPr>
        <w:keepNext/>
        <w:keepLines/>
        <w:ind w:left="-142"/>
        <w:outlineLvl w:val="2"/>
        <w:rPr>
          <w:rFonts w:eastAsia="Cambria"/>
          <w:b/>
          <w:sz w:val="28"/>
          <w:szCs w:val="28"/>
        </w:rPr>
      </w:pPr>
      <w:r w:rsidRPr="00C44FEE">
        <w:rPr>
          <w:rFonts w:eastAsia="Cambria"/>
          <w:b/>
          <w:sz w:val="28"/>
          <w:szCs w:val="28"/>
        </w:rPr>
        <w:t xml:space="preserve">Workforce profile </w:t>
      </w:r>
    </w:p>
    <w:p w14:paraId="1BAA443F" w14:textId="77777777" w:rsidR="00C44FEE" w:rsidRPr="00C44FEE" w:rsidRDefault="00C44FEE" w:rsidP="00C44FEE">
      <w:pPr>
        <w:autoSpaceDE w:val="0"/>
        <w:autoSpaceDN w:val="0"/>
        <w:ind w:left="-142"/>
        <w:rPr>
          <w:rFonts w:ascii="Calibri" w:hAnsi="Calibri"/>
        </w:rPr>
      </w:pPr>
      <w:r w:rsidRPr="00C44FEE">
        <w:t xml:space="preserve">The total number of Full Time Equivalent (FTE) staff for </w:t>
      </w:r>
      <w:r w:rsidR="00E75527">
        <w:t xml:space="preserve">the Office </w:t>
      </w:r>
      <w:r w:rsidRPr="00C44FEE">
        <w:t>was 21.06 as at 30 June 2018.</w:t>
      </w:r>
    </w:p>
    <w:p w14:paraId="6E08D48A" w14:textId="77777777" w:rsidR="00C44FEE" w:rsidRPr="00C44FEE" w:rsidRDefault="00C44FEE" w:rsidP="00C44FEE">
      <w:pPr>
        <w:autoSpaceDE w:val="0"/>
        <w:autoSpaceDN w:val="0"/>
        <w:ind w:left="-142"/>
      </w:pPr>
      <w:r w:rsidRPr="00C44FEE">
        <w:t>Between 1 July 20</w:t>
      </w:r>
      <w:r w:rsidR="00E75527">
        <w:t xml:space="preserve">17 and 30 June 2018, the Office’s </w:t>
      </w:r>
      <w:r w:rsidRPr="00C44FEE">
        <w:t xml:space="preserve">permanent separation rate was 14%. </w:t>
      </w:r>
      <w:r w:rsidRPr="00C44FEE">
        <w:rPr>
          <w:rFonts w:eastAsia="Cambria"/>
        </w:rPr>
        <w:t xml:space="preserve">The separation rate is for permanent staff only and excludes contract staff.   </w:t>
      </w:r>
    </w:p>
    <w:p w14:paraId="63CEA00D" w14:textId="77777777" w:rsidR="00B4292B" w:rsidRPr="0036663B" w:rsidRDefault="00B4292B" w:rsidP="00C44FEE">
      <w:pPr>
        <w:ind w:left="-142"/>
        <w:rPr>
          <w:rFonts w:eastAsia="Cambria"/>
          <w:b/>
          <w:sz w:val="28"/>
          <w:szCs w:val="28"/>
        </w:rPr>
      </w:pPr>
      <w:r w:rsidRPr="0036663B">
        <w:rPr>
          <w:rFonts w:eastAsia="Cambria"/>
          <w:b/>
          <w:sz w:val="28"/>
          <w:szCs w:val="28"/>
        </w:rPr>
        <w:t xml:space="preserve">Corporate induction </w:t>
      </w:r>
    </w:p>
    <w:p w14:paraId="08DEFE8C" w14:textId="77777777" w:rsidR="00B4292B" w:rsidRDefault="00B4292B" w:rsidP="00C44FEE">
      <w:pPr>
        <w:ind w:left="-142"/>
        <w:rPr>
          <w:rFonts w:eastAsia="Cambria"/>
          <w:bCs/>
          <w:lang w:val="en"/>
        </w:rPr>
      </w:pPr>
      <w:r w:rsidRPr="00FF032D">
        <w:rPr>
          <w:rFonts w:eastAsia="Cambria"/>
          <w:bCs/>
        </w:rPr>
        <w:t xml:space="preserve">The Office </w:t>
      </w:r>
      <w:r>
        <w:rPr>
          <w:rFonts w:eastAsia="Cambria"/>
          <w:bCs/>
        </w:rPr>
        <w:t xml:space="preserve">recognises the importance of </w:t>
      </w:r>
      <w:r w:rsidRPr="00991744">
        <w:rPr>
          <w:rFonts w:eastAsia="Cambria"/>
          <w:bCs/>
          <w:lang w:val="en"/>
        </w:rPr>
        <w:t>onboarding and inducti</w:t>
      </w:r>
      <w:r w:rsidR="007C2090">
        <w:rPr>
          <w:rFonts w:eastAsia="Cambria"/>
          <w:bCs/>
          <w:lang w:val="en"/>
        </w:rPr>
        <w:t>ng</w:t>
      </w:r>
      <w:r>
        <w:rPr>
          <w:rFonts w:eastAsia="Cambria"/>
          <w:bCs/>
          <w:lang w:val="en"/>
        </w:rPr>
        <w:t xml:space="preserve"> new employees. </w:t>
      </w:r>
      <w:r w:rsidRPr="00FF032D">
        <w:rPr>
          <w:rFonts w:eastAsia="Cambria"/>
          <w:bCs/>
        </w:rPr>
        <w:t xml:space="preserve">It provides an introduction to the working environment and </w:t>
      </w:r>
      <w:r>
        <w:rPr>
          <w:rFonts w:eastAsia="Cambria"/>
          <w:bCs/>
        </w:rPr>
        <w:t xml:space="preserve">facilitates orientation of </w:t>
      </w:r>
      <w:r w:rsidRPr="00FF032D">
        <w:rPr>
          <w:rFonts w:eastAsia="Cambria"/>
          <w:bCs/>
        </w:rPr>
        <w:t>employee</w:t>
      </w:r>
      <w:r>
        <w:rPr>
          <w:rFonts w:eastAsia="Cambria"/>
          <w:bCs/>
        </w:rPr>
        <w:t xml:space="preserve">s to </w:t>
      </w:r>
      <w:r w:rsidRPr="00FF032D">
        <w:rPr>
          <w:rFonts w:eastAsia="Cambria"/>
          <w:bCs/>
        </w:rPr>
        <w:t>the organisation.</w:t>
      </w:r>
      <w:r>
        <w:rPr>
          <w:rFonts w:eastAsia="Cambria"/>
          <w:bCs/>
          <w:lang w:val="en"/>
        </w:rPr>
        <w:t xml:space="preserve"> </w:t>
      </w:r>
      <w:r w:rsidRPr="00991744">
        <w:rPr>
          <w:rFonts w:eastAsia="Cambria"/>
          <w:bCs/>
          <w:lang w:val="en"/>
        </w:rPr>
        <w:t xml:space="preserve"> </w:t>
      </w:r>
    </w:p>
    <w:p w14:paraId="6DD802F2" w14:textId="77777777" w:rsidR="00495018" w:rsidRDefault="00B4292B" w:rsidP="005F497A">
      <w:pPr>
        <w:ind w:left="-142"/>
        <w:rPr>
          <w:rFonts w:eastAsia="Cambria"/>
          <w:bCs/>
          <w:lang w:val="en"/>
        </w:rPr>
      </w:pPr>
      <w:r>
        <w:rPr>
          <w:rFonts w:eastAsia="Cambria"/>
          <w:bCs/>
          <w:lang w:val="en"/>
        </w:rPr>
        <w:t>New employees who commenced with the Office in 2017-18 attended a comprehensive corporate induct</w:t>
      </w:r>
      <w:r w:rsidR="00045670">
        <w:rPr>
          <w:rFonts w:eastAsia="Cambria"/>
          <w:bCs/>
          <w:lang w:val="en"/>
        </w:rPr>
        <w:t xml:space="preserve">ion program. </w:t>
      </w:r>
    </w:p>
    <w:p w14:paraId="12F5DFB3" w14:textId="77777777" w:rsidR="00495018" w:rsidRDefault="00045670" w:rsidP="005F497A">
      <w:pPr>
        <w:ind w:left="-142"/>
        <w:rPr>
          <w:rFonts w:eastAsia="Cambria"/>
          <w:bCs/>
          <w:lang w:val="en"/>
        </w:rPr>
      </w:pPr>
      <w:r>
        <w:rPr>
          <w:rFonts w:eastAsia="Cambria"/>
          <w:bCs/>
          <w:lang w:val="en"/>
        </w:rPr>
        <w:t>The Office partnered</w:t>
      </w:r>
      <w:r w:rsidR="00B4292B">
        <w:rPr>
          <w:rFonts w:eastAsia="Cambria"/>
          <w:bCs/>
          <w:lang w:val="en"/>
        </w:rPr>
        <w:t xml:space="preserve"> with the PSBA to deliver this program on a quarterly basis. </w:t>
      </w:r>
    </w:p>
    <w:p w14:paraId="7D938B26" w14:textId="77777777" w:rsidR="00495018" w:rsidRDefault="00B4292B" w:rsidP="005F497A">
      <w:pPr>
        <w:ind w:left="-142"/>
        <w:rPr>
          <w:rFonts w:eastAsia="Cambria"/>
        </w:rPr>
      </w:pPr>
      <w:r w:rsidRPr="00991744">
        <w:rPr>
          <w:rFonts w:eastAsia="Cambria"/>
        </w:rPr>
        <w:t xml:space="preserve">The program was </w:t>
      </w:r>
      <w:r>
        <w:rPr>
          <w:rFonts w:eastAsia="Cambria"/>
        </w:rPr>
        <w:t xml:space="preserve">recently </w:t>
      </w:r>
      <w:r w:rsidRPr="00991744">
        <w:rPr>
          <w:rFonts w:eastAsia="Cambria"/>
        </w:rPr>
        <w:t xml:space="preserve">realigned to enhance interaction and engagement with attendees. </w:t>
      </w:r>
      <w:r>
        <w:rPr>
          <w:rFonts w:eastAsia="Cambria"/>
        </w:rPr>
        <w:t xml:space="preserve">It </w:t>
      </w:r>
      <w:r w:rsidRPr="00991744">
        <w:rPr>
          <w:rFonts w:eastAsia="Cambria"/>
        </w:rPr>
        <w:t xml:space="preserve">provides participants with the opportunity to interact with </w:t>
      </w:r>
      <w:r>
        <w:rPr>
          <w:rFonts w:eastAsia="Cambria"/>
        </w:rPr>
        <w:t>senior management,</w:t>
      </w:r>
      <w:r w:rsidRPr="00991744">
        <w:rPr>
          <w:rFonts w:eastAsia="Cambria"/>
        </w:rPr>
        <w:t xml:space="preserve"> hear from divisional and portfolio representatives and network with colleagues. The program covers a broad range of topics including: corporate vision and strategic objectives, conditions of employment, employee entitlements, workplace conduct and performance, safety and wellbeing and diversity and inclusion. </w:t>
      </w:r>
    </w:p>
    <w:p w14:paraId="204E28B1" w14:textId="77777777" w:rsidR="00B4292B" w:rsidRPr="00991744" w:rsidRDefault="00B4292B" w:rsidP="005F497A">
      <w:pPr>
        <w:ind w:left="-142"/>
        <w:rPr>
          <w:rFonts w:eastAsia="Cambria"/>
        </w:rPr>
      </w:pPr>
      <w:r w:rsidRPr="00991744">
        <w:rPr>
          <w:rFonts w:eastAsia="Cambria"/>
        </w:rPr>
        <w:t xml:space="preserve">Feedback from attendees continues to be positive with </w:t>
      </w:r>
      <w:r w:rsidR="00495018">
        <w:rPr>
          <w:rFonts w:eastAsia="Cambria"/>
        </w:rPr>
        <w:t xml:space="preserve">attendees </w:t>
      </w:r>
      <w:r w:rsidRPr="00991744">
        <w:rPr>
          <w:rFonts w:eastAsia="Cambria"/>
        </w:rPr>
        <w:t>valuing the opportunity to personally meet and hear from senior leaders from across the public safety agencies</w:t>
      </w:r>
      <w:r>
        <w:rPr>
          <w:rFonts w:eastAsia="Cambria"/>
        </w:rPr>
        <w:t xml:space="preserve">. </w:t>
      </w:r>
      <w:r w:rsidRPr="00991744">
        <w:rPr>
          <w:rFonts w:eastAsia="Cambria"/>
        </w:rPr>
        <w:t xml:space="preserve"> </w:t>
      </w:r>
    </w:p>
    <w:p w14:paraId="717BD9C0" w14:textId="77777777" w:rsidR="00B4292B" w:rsidRPr="0036663B" w:rsidRDefault="00B4292B" w:rsidP="005F497A">
      <w:pPr>
        <w:ind w:left="-142"/>
        <w:rPr>
          <w:rFonts w:eastAsia="Cambria"/>
          <w:b/>
          <w:sz w:val="28"/>
          <w:szCs w:val="28"/>
        </w:rPr>
      </w:pPr>
      <w:r w:rsidRPr="0036663B">
        <w:rPr>
          <w:rFonts w:eastAsia="Cambria"/>
          <w:b/>
          <w:sz w:val="28"/>
          <w:szCs w:val="28"/>
        </w:rPr>
        <w:t xml:space="preserve">Performance management </w:t>
      </w:r>
    </w:p>
    <w:p w14:paraId="375D9795" w14:textId="77777777" w:rsidR="00B4292B" w:rsidRDefault="00B4292B" w:rsidP="005F497A">
      <w:pPr>
        <w:ind w:left="-142"/>
        <w:rPr>
          <w:rFonts w:eastAsia="Cambria"/>
        </w:rPr>
      </w:pPr>
      <w:r w:rsidRPr="00D70A24">
        <w:rPr>
          <w:rFonts w:eastAsia="Cambria"/>
          <w:bCs/>
        </w:rPr>
        <w:t xml:space="preserve">Central to the </w:t>
      </w:r>
      <w:r>
        <w:rPr>
          <w:rFonts w:eastAsia="Cambria"/>
          <w:bCs/>
        </w:rPr>
        <w:t>Office</w:t>
      </w:r>
      <w:r w:rsidR="005F497A">
        <w:rPr>
          <w:rFonts w:eastAsia="Cambria"/>
          <w:bCs/>
        </w:rPr>
        <w:t>’s</w:t>
      </w:r>
      <w:r>
        <w:rPr>
          <w:rFonts w:eastAsia="Cambria"/>
          <w:bCs/>
        </w:rPr>
        <w:t xml:space="preserve"> </w:t>
      </w:r>
      <w:r w:rsidRPr="00D70A24">
        <w:rPr>
          <w:rFonts w:eastAsia="Cambria"/>
          <w:bCs/>
        </w:rPr>
        <w:t>success is the commi</w:t>
      </w:r>
      <w:r>
        <w:rPr>
          <w:rFonts w:eastAsia="Cambria"/>
          <w:bCs/>
        </w:rPr>
        <w:t xml:space="preserve">tment to develop and support a </w:t>
      </w:r>
      <w:r w:rsidRPr="00D70A24">
        <w:rPr>
          <w:rFonts w:eastAsia="Cambria"/>
          <w:bCs/>
        </w:rPr>
        <w:t>d</w:t>
      </w:r>
      <w:r w:rsidR="00FE48D0">
        <w:rPr>
          <w:rFonts w:eastAsia="Cambria"/>
          <w:bCs/>
        </w:rPr>
        <w:t>iverse, forward-</w:t>
      </w:r>
      <w:r w:rsidRPr="00D70A24">
        <w:rPr>
          <w:rFonts w:eastAsia="Cambria"/>
          <w:bCs/>
        </w:rPr>
        <w:t>looking, agile and engaged workforce</w:t>
      </w:r>
      <w:r>
        <w:rPr>
          <w:rFonts w:eastAsia="Cambria"/>
          <w:bCs/>
        </w:rPr>
        <w:t>.</w:t>
      </w:r>
    </w:p>
    <w:p w14:paraId="1C8CFA49" w14:textId="308C1001" w:rsidR="00B4292B" w:rsidRDefault="00FE48D0" w:rsidP="005F497A">
      <w:pPr>
        <w:ind w:left="-142"/>
        <w:rPr>
          <w:rFonts w:eastAsia="Cambria"/>
          <w:bCs/>
        </w:rPr>
      </w:pPr>
      <w:r>
        <w:rPr>
          <w:szCs w:val="22"/>
        </w:rPr>
        <w:t>A</w:t>
      </w:r>
      <w:r w:rsidRPr="0020622A">
        <w:rPr>
          <w:szCs w:val="22"/>
        </w:rPr>
        <w:t xml:space="preserve">ll </w:t>
      </w:r>
      <w:r>
        <w:rPr>
          <w:szCs w:val="22"/>
        </w:rPr>
        <w:t xml:space="preserve">employees were provided with the opportunity to engage </w:t>
      </w:r>
      <w:r w:rsidRPr="0020622A">
        <w:rPr>
          <w:szCs w:val="22"/>
        </w:rPr>
        <w:t xml:space="preserve">in regular performance conversations </w:t>
      </w:r>
      <w:r>
        <w:rPr>
          <w:szCs w:val="22"/>
        </w:rPr>
        <w:t xml:space="preserve">as part of </w:t>
      </w:r>
      <w:r w:rsidRPr="0020622A">
        <w:rPr>
          <w:szCs w:val="22"/>
        </w:rPr>
        <w:t xml:space="preserve">the Office’s </w:t>
      </w:r>
      <w:r>
        <w:rPr>
          <w:szCs w:val="22"/>
        </w:rPr>
        <w:t>PDP p</w:t>
      </w:r>
      <w:r w:rsidRPr="0020622A">
        <w:rPr>
          <w:szCs w:val="22"/>
        </w:rPr>
        <w:t>rocess</w:t>
      </w:r>
      <w:r>
        <w:rPr>
          <w:szCs w:val="22"/>
        </w:rPr>
        <w:t xml:space="preserve">; supporting </w:t>
      </w:r>
      <w:r w:rsidR="00B4292B">
        <w:rPr>
          <w:rFonts w:eastAsia="Cambria"/>
          <w:bCs/>
        </w:rPr>
        <w:t>the achievement of performance outcomes and deliver</w:t>
      </w:r>
      <w:r>
        <w:rPr>
          <w:rFonts w:eastAsia="Cambria"/>
          <w:bCs/>
        </w:rPr>
        <w:t xml:space="preserve">y of </w:t>
      </w:r>
      <w:r w:rsidR="00B4292B">
        <w:rPr>
          <w:rFonts w:eastAsia="Cambria"/>
          <w:bCs/>
        </w:rPr>
        <w:t>the Office’s strategic objectives. PDP discussions are also a catalyst for progr</w:t>
      </w:r>
      <w:r>
        <w:rPr>
          <w:rFonts w:eastAsia="Cambria"/>
          <w:bCs/>
        </w:rPr>
        <w:t xml:space="preserve">essing professional development and capability building across the Office. </w:t>
      </w:r>
    </w:p>
    <w:p w14:paraId="676A7D1D" w14:textId="77777777" w:rsidR="00B4292B" w:rsidRPr="0036663B" w:rsidRDefault="00B4292B" w:rsidP="005F497A">
      <w:pPr>
        <w:ind w:left="-142"/>
        <w:rPr>
          <w:rFonts w:eastAsia="Cambria"/>
          <w:b/>
          <w:bCs/>
          <w:sz w:val="28"/>
          <w:szCs w:val="28"/>
        </w:rPr>
      </w:pPr>
      <w:r w:rsidRPr="0036663B">
        <w:rPr>
          <w:rFonts w:eastAsia="Cambria"/>
          <w:b/>
          <w:bCs/>
          <w:sz w:val="28"/>
          <w:szCs w:val="28"/>
        </w:rPr>
        <w:t xml:space="preserve">International Women’s Day </w:t>
      </w:r>
    </w:p>
    <w:p w14:paraId="7B4E9D05" w14:textId="77777777" w:rsidR="00B4292B" w:rsidRPr="005F2353" w:rsidRDefault="00B4292B" w:rsidP="005F497A">
      <w:pPr>
        <w:ind w:left="-142"/>
        <w:rPr>
          <w:rFonts w:eastAsia="Cambria"/>
          <w:bCs/>
        </w:rPr>
      </w:pPr>
      <w:r w:rsidRPr="005F2353">
        <w:rPr>
          <w:rFonts w:eastAsia="Cambria"/>
          <w:bCs/>
        </w:rPr>
        <w:t>International Women’s Day (IWD) is a global day to celebrate and reflect upon the economic, political and social achievements of women across the globe.</w:t>
      </w:r>
    </w:p>
    <w:p w14:paraId="11EAC0B4" w14:textId="77777777" w:rsidR="00B4292B" w:rsidRPr="005F2353" w:rsidRDefault="00B4292B" w:rsidP="005F497A">
      <w:pPr>
        <w:ind w:left="-142"/>
        <w:rPr>
          <w:rFonts w:eastAsia="Cambria"/>
          <w:bCs/>
        </w:rPr>
      </w:pPr>
      <w:r>
        <w:rPr>
          <w:rFonts w:eastAsia="Cambria"/>
          <w:bCs/>
        </w:rPr>
        <w:t xml:space="preserve">The Office </w:t>
      </w:r>
      <w:r w:rsidR="004E427D">
        <w:rPr>
          <w:rFonts w:eastAsia="Cambria"/>
          <w:bCs/>
        </w:rPr>
        <w:t>c</w:t>
      </w:r>
      <w:r>
        <w:rPr>
          <w:rFonts w:eastAsia="Cambria"/>
          <w:bCs/>
        </w:rPr>
        <w:t xml:space="preserve">elebrated </w:t>
      </w:r>
      <w:r w:rsidR="00E75527">
        <w:rPr>
          <w:rFonts w:eastAsia="Cambria"/>
          <w:bCs/>
        </w:rPr>
        <w:t>IWD</w:t>
      </w:r>
      <w:r w:rsidRPr="005F2353">
        <w:rPr>
          <w:rFonts w:eastAsia="Cambria"/>
          <w:bCs/>
        </w:rPr>
        <w:t xml:space="preserve"> on 8 March 2018 </w:t>
      </w:r>
      <w:r>
        <w:rPr>
          <w:rFonts w:eastAsia="Cambria"/>
          <w:bCs/>
        </w:rPr>
        <w:t xml:space="preserve">by jointly organising </w:t>
      </w:r>
      <w:r w:rsidRPr="005F2353">
        <w:rPr>
          <w:rFonts w:eastAsia="Cambria"/>
          <w:bCs/>
        </w:rPr>
        <w:t>a public safety agencies luncheon event. The theme of the event was ‘Connecting and empowering through partnerships‘.</w:t>
      </w:r>
      <w:r w:rsidR="000B0751">
        <w:rPr>
          <w:rFonts w:eastAsia="Cambria"/>
          <w:bCs/>
        </w:rPr>
        <w:t xml:space="preserve"> </w:t>
      </w:r>
      <w:r w:rsidRPr="005F2353">
        <w:rPr>
          <w:rFonts w:eastAsia="Cambria"/>
          <w:bCs/>
        </w:rPr>
        <w:t>The keynote speakers for the event were Kay McGrath, journalist, presenter and child safety campaigner and Cynthia Morton, Author, Emotional Fitness Sp</w:t>
      </w:r>
      <w:r w:rsidR="000B0751">
        <w:rPr>
          <w:rFonts w:eastAsia="Cambria"/>
          <w:bCs/>
        </w:rPr>
        <w:t>ecialist/Hope Masseuse. The key</w:t>
      </w:r>
      <w:r w:rsidRPr="005F2353">
        <w:rPr>
          <w:rFonts w:eastAsia="Cambria"/>
          <w:bCs/>
        </w:rPr>
        <w:t xml:space="preserve">note speakers were also joined by </w:t>
      </w:r>
      <w:r>
        <w:rPr>
          <w:rFonts w:eastAsia="Cambria"/>
          <w:bCs/>
        </w:rPr>
        <w:t xml:space="preserve">Queensland Police </w:t>
      </w:r>
      <w:r w:rsidRPr="005F2353">
        <w:rPr>
          <w:rFonts w:eastAsia="Cambria"/>
          <w:bCs/>
        </w:rPr>
        <w:t xml:space="preserve">Inspector, </w:t>
      </w:r>
      <w:r w:rsidRPr="005F2353">
        <w:rPr>
          <w:rFonts w:eastAsia="Cambria"/>
          <w:bCs/>
          <w:iCs/>
        </w:rPr>
        <w:t xml:space="preserve">Corey Allen and Madeline Price who engaged in </w:t>
      </w:r>
      <w:r w:rsidRPr="005F2353">
        <w:rPr>
          <w:rFonts w:eastAsia="Cambria"/>
          <w:bCs/>
        </w:rPr>
        <w:t xml:space="preserve">a panel discussion on the theme of the event. </w:t>
      </w:r>
      <w:r>
        <w:rPr>
          <w:rFonts w:eastAsia="Cambria"/>
          <w:bCs/>
        </w:rPr>
        <w:t>O</w:t>
      </w:r>
      <w:r w:rsidRPr="005F2353">
        <w:rPr>
          <w:rFonts w:eastAsia="Cambria"/>
          <w:bCs/>
        </w:rPr>
        <w:t>ver 720 people attend</w:t>
      </w:r>
      <w:r w:rsidR="000B0751">
        <w:rPr>
          <w:rFonts w:eastAsia="Cambria"/>
          <w:bCs/>
        </w:rPr>
        <w:t xml:space="preserve">ed. </w:t>
      </w:r>
    </w:p>
    <w:p w14:paraId="75EF84D7" w14:textId="0DE2A10C" w:rsidR="00B4292B" w:rsidRDefault="00B4292B" w:rsidP="005F497A">
      <w:pPr>
        <w:ind w:left="-142"/>
        <w:rPr>
          <w:rFonts w:eastAsia="Cambria"/>
          <w:bCs/>
        </w:rPr>
      </w:pPr>
      <w:r w:rsidRPr="005F2353">
        <w:rPr>
          <w:rFonts w:eastAsia="Cambria"/>
          <w:bCs/>
        </w:rPr>
        <w:t>The event also included a public safety agencies awards ceremony</w:t>
      </w:r>
      <w:r w:rsidR="00C67644">
        <w:rPr>
          <w:rFonts w:eastAsia="Cambria"/>
          <w:bCs/>
        </w:rPr>
        <w:t>,</w:t>
      </w:r>
      <w:r w:rsidRPr="005F2353">
        <w:rPr>
          <w:rFonts w:eastAsia="Cambria"/>
          <w:bCs/>
        </w:rPr>
        <w:t xml:space="preserve"> which recognised and acknowledged the achievement of </w:t>
      </w:r>
      <w:r w:rsidR="00045670">
        <w:rPr>
          <w:rFonts w:eastAsia="Cambria"/>
          <w:bCs/>
        </w:rPr>
        <w:t xml:space="preserve">staff across </w:t>
      </w:r>
      <w:r w:rsidRPr="005F2353">
        <w:rPr>
          <w:rFonts w:eastAsia="Cambria"/>
          <w:bCs/>
        </w:rPr>
        <w:t xml:space="preserve">a number of award categories. </w:t>
      </w:r>
    </w:p>
    <w:p w14:paraId="19D74A58" w14:textId="77777777" w:rsidR="00B4292B" w:rsidRPr="0036663B" w:rsidRDefault="00B4292B" w:rsidP="00B4292B">
      <w:pPr>
        <w:spacing w:before="240"/>
        <w:ind w:left="-142"/>
        <w:rPr>
          <w:rFonts w:eastAsia="Cambria"/>
          <w:b/>
          <w:sz w:val="28"/>
          <w:szCs w:val="28"/>
        </w:rPr>
      </w:pPr>
      <w:r w:rsidRPr="0036663B">
        <w:rPr>
          <w:rFonts w:eastAsia="Cambria"/>
          <w:b/>
          <w:sz w:val="28"/>
          <w:szCs w:val="28"/>
        </w:rPr>
        <w:t xml:space="preserve">Domestic and family violence support package </w:t>
      </w:r>
    </w:p>
    <w:p w14:paraId="734BCC90" w14:textId="77777777" w:rsidR="00B4292B" w:rsidRPr="005F2353" w:rsidRDefault="00B4292B" w:rsidP="00B4292B">
      <w:pPr>
        <w:ind w:left="-142"/>
        <w:rPr>
          <w:rFonts w:eastAsia="Cambria"/>
          <w:bCs/>
        </w:rPr>
      </w:pPr>
      <w:bookmarkStart w:id="95" w:name="_Hlk519682846"/>
      <w:r w:rsidRPr="005F2353">
        <w:rPr>
          <w:rFonts w:eastAsia="Cambria"/>
          <w:bCs/>
        </w:rPr>
        <w:t>The</w:t>
      </w:r>
      <w:r>
        <w:rPr>
          <w:rFonts w:eastAsia="Cambria"/>
          <w:bCs/>
        </w:rPr>
        <w:t xml:space="preserve"> Office </w:t>
      </w:r>
      <w:r w:rsidRPr="005F2353">
        <w:rPr>
          <w:rFonts w:eastAsia="Cambria"/>
          <w:bCs/>
        </w:rPr>
        <w:t xml:space="preserve">achieved accreditation in November 2017 as a White Ribbon </w:t>
      </w:r>
      <w:r w:rsidR="00C44AB2">
        <w:rPr>
          <w:rFonts w:eastAsia="Cambria"/>
          <w:bCs/>
        </w:rPr>
        <w:t xml:space="preserve">Australia Workplace in recognition of the </w:t>
      </w:r>
      <w:r w:rsidRPr="005F2353">
        <w:rPr>
          <w:rFonts w:eastAsia="Cambria"/>
          <w:bCs/>
        </w:rPr>
        <w:t xml:space="preserve">active steps </w:t>
      </w:r>
      <w:r w:rsidR="00C44AB2">
        <w:rPr>
          <w:rFonts w:eastAsia="Cambria"/>
          <w:bCs/>
        </w:rPr>
        <w:t xml:space="preserve">taken to prevent and respond to </w:t>
      </w:r>
      <w:r w:rsidRPr="005F2353">
        <w:rPr>
          <w:rFonts w:eastAsia="Cambria"/>
          <w:bCs/>
        </w:rPr>
        <w:t>violence against women.</w:t>
      </w:r>
    </w:p>
    <w:bookmarkEnd w:id="95"/>
    <w:p w14:paraId="3DF3974D" w14:textId="77777777" w:rsidR="00B4292B" w:rsidRPr="005F2353" w:rsidRDefault="00B4292B" w:rsidP="00B4292B">
      <w:pPr>
        <w:ind w:left="-142"/>
        <w:rPr>
          <w:rFonts w:eastAsia="Cambria"/>
          <w:bCs/>
        </w:rPr>
      </w:pPr>
      <w:r w:rsidRPr="005F2353">
        <w:rPr>
          <w:rFonts w:eastAsia="Cambria"/>
          <w:bCs/>
        </w:rPr>
        <w:t xml:space="preserve">The </w:t>
      </w:r>
      <w:r>
        <w:rPr>
          <w:rFonts w:eastAsia="Cambria"/>
          <w:bCs/>
        </w:rPr>
        <w:t xml:space="preserve">Office </w:t>
      </w:r>
      <w:r w:rsidRPr="005F2353">
        <w:rPr>
          <w:rFonts w:eastAsia="Cambria"/>
          <w:bCs/>
        </w:rPr>
        <w:t xml:space="preserve">was recognised for effective leadership and visible commitment </w:t>
      </w:r>
      <w:r w:rsidRPr="005F2353">
        <w:rPr>
          <w:rFonts w:eastAsia="Cambria"/>
          <w:bCs/>
          <w:iCs/>
        </w:rPr>
        <w:t>to domestic and family violence (DFV) prevention</w:t>
      </w:r>
      <w:r w:rsidR="00EC1A80">
        <w:rPr>
          <w:rFonts w:eastAsia="Cambria"/>
          <w:bCs/>
        </w:rPr>
        <w:t>;</w:t>
      </w:r>
      <w:r w:rsidRPr="005F2353">
        <w:rPr>
          <w:rFonts w:eastAsia="Cambria"/>
          <w:bCs/>
        </w:rPr>
        <w:t xml:space="preserve"> allocation of resources to prevent and respond to DFV</w:t>
      </w:r>
      <w:r w:rsidR="00EC1A80">
        <w:rPr>
          <w:rFonts w:eastAsia="Cambria"/>
          <w:bCs/>
        </w:rPr>
        <w:t>;</w:t>
      </w:r>
      <w:r w:rsidRPr="005F2353">
        <w:rPr>
          <w:rFonts w:eastAsia="Cambria"/>
          <w:bCs/>
        </w:rPr>
        <w:t xml:space="preserve"> development of </w:t>
      </w:r>
      <w:r w:rsidRPr="005F2353">
        <w:rPr>
          <w:rFonts w:eastAsia="Cambria"/>
          <w:bCs/>
        </w:rPr>
        <w:lastRenderedPageBreak/>
        <w:t>policies, procedures and resources</w:t>
      </w:r>
      <w:r w:rsidR="00EC1A80">
        <w:rPr>
          <w:rFonts w:eastAsia="Cambria"/>
          <w:bCs/>
        </w:rPr>
        <w:t>;</w:t>
      </w:r>
      <w:r w:rsidRPr="005F2353">
        <w:rPr>
          <w:rFonts w:eastAsia="Cambria"/>
          <w:bCs/>
        </w:rPr>
        <w:t xml:space="preserve"> delivery of training programs for managers and employees to build confidence and capabilities in addressing DFV</w:t>
      </w:r>
      <w:r w:rsidR="00EC1A80">
        <w:rPr>
          <w:rFonts w:eastAsia="Cambria"/>
          <w:bCs/>
        </w:rPr>
        <w:t>;</w:t>
      </w:r>
      <w:r w:rsidRPr="005F2353">
        <w:rPr>
          <w:rFonts w:eastAsia="Cambria"/>
          <w:bCs/>
        </w:rPr>
        <w:t xml:space="preserve"> and participation in events and initiatives to raise awareness of DFV in the workplace and across the broader community. Management and staff </w:t>
      </w:r>
      <w:r>
        <w:rPr>
          <w:rFonts w:eastAsia="Cambria"/>
          <w:bCs/>
        </w:rPr>
        <w:t xml:space="preserve">in the Office </w:t>
      </w:r>
      <w:r w:rsidRPr="005F2353">
        <w:rPr>
          <w:rFonts w:eastAsia="Cambria"/>
          <w:bCs/>
        </w:rPr>
        <w:t xml:space="preserve">have been equipped with the knowledge and skills to address the issue of DFV. The </w:t>
      </w:r>
      <w:r>
        <w:rPr>
          <w:rFonts w:eastAsia="Cambria"/>
          <w:bCs/>
        </w:rPr>
        <w:t xml:space="preserve">Office </w:t>
      </w:r>
      <w:r w:rsidRPr="005F2353">
        <w:rPr>
          <w:rFonts w:eastAsia="Cambria"/>
          <w:bCs/>
        </w:rPr>
        <w:t xml:space="preserve">will continue to foster a workplace culture where employees affected by DFV are supported by providing appropriate safety and support measures. This will contribute to a healthy and safe working environment for all.  </w:t>
      </w:r>
    </w:p>
    <w:p w14:paraId="45004541" w14:textId="6AD9C991" w:rsidR="00B4292B" w:rsidRPr="005F2353" w:rsidRDefault="00B4292B" w:rsidP="00B4292B">
      <w:pPr>
        <w:ind w:left="-142"/>
        <w:rPr>
          <w:rFonts w:eastAsia="Cambria"/>
        </w:rPr>
      </w:pPr>
      <w:r w:rsidRPr="005F2353">
        <w:rPr>
          <w:rFonts w:eastAsia="Cambria"/>
          <w:bCs/>
        </w:rPr>
        <w:t xml:space="preserve">The Employee Assistance </w:t>
      </w:r>
      <w:r w:rsidRPr="00E917DE">
        <w:rPr>
          <w:rFonts w:eastAsia="Cambria"/>
          <w:bCs/>
        </w:rPr>
        <w:t>Program</w:t>
      </w:r>
      <w:r w:rsidR="00E75527" w:rsidRPr="00E917DE">
        <w:rPr>
          <w:rFonts w:eastAsia="Cambria"/>
          <w:bCs/>
        </w:rPr>
        <w:t xml:space="preserve"> </w:t>
      </w:r>
      <w:r w:rsidR="00E917DE" w:rsidRPr="00E917DE">
        <w:rPr>
          <w:rFonts w:eastAsia="Cambria"/>
          <w:bCs/>
        </w:rPr>
        <w:t xml:space="preserve">(EAP) </w:t>
      </w:r>
      <w:r w:rsidRPr="00E917DE">
        <w:rPr>
          <w:rFonts w:eastAsia="Cambria"/>
        </w:rPr>
        <w:t>offers</w:t>
      </w:r>
      <w:r w:rsidRPr="005F2353">
        <w:rPr>
          <w:rFonts w:eastAsia="Cambria"/>
        </w:rPr>
        <w:t xml:space="preserve"> professional support to employees experiencing </w:t>
      </w:r>
      <w:r w:rsidR="00EC1A80">
        <w:rPr>
          <w:rFonts w:eastAsia="Cambria"/>
        </w:rPr>
        <w:t>DFV</w:t>
      </w:r>
      <w:r w:rsidRPr="005F2353">
        <w:rPr>
          <w:rFonts w:eastAsia="Cambria"/>
        </w:rPr>
        <w:t>. Employees can contact a direct line which will provide access to professionals who specia</w:t>
      </w:r>
      <w:r w:rsidR="00045670">
        <w:rPr>
          <w:rFonts w:eastAsia="Cambria"/>
        </w:rPr>
        <w:t xml:space="preserve">lise in DFV. The service offers </w:t>
      </w:r>
      <w:r w:rsidRPr="005F2353">
        <w:rPr>
          <w:rFonts w:eastAsia="Cambria"/>
        </w:rPr>
        <w:t>con</w:t>
      </w:r>
      <w:r w:rsidR="00045670">
        <w:rPr>
          <w:rFonts w:eastAsia="Cambria"/>
        </w:rPr>
        <w:t xml:space="preserve">fidential professional support, </w:t>
      </w:r>
      <w:r w:rsidRPr="005F2353">
        <w:rPr>
          <w:rFonts w:eastAsia="Cambria"/>
        </w:rPr>
        <w:t>counselling and referrals to community support servi</w:t>
      </w:r>
      <w:r w:rsidR="00045670">
        <w:rPr>
          <w:rFonts w:eastAsia="Cambria"/>
        </w:rPr>
        <w:t xml:space="preserve">ces, information and a range of </w:t>
      </w:r>
      <w:r w:rsidRPr="005F2353">
        <w:rPr>
          <w:rFonts w:eastAsia="Cambria"/>
        </w:rPr>
        <w:t>resources.</w:t>
      </w:r>
    </w:p>
    <w:p w14:paraId="366DB81D" w14:textId="77777777" w:rsidR="00B4292B" w:rsidRPr="005F2353" w:rsidRDefault="00B4292B" w:rsidP="00B4292B">
      <w:pPr>
        <w:ind w:left="-142"/>
        <w:rPr>
          <w:rFonts w:eastAsia="Cambria"/>
        </w:rPr>
      </w:pPr>
      <w:r w:rsidRPr="005F2353">
        <w:rPr>
          <w:rFonts w:eastAsia="Cambria"/>
        </w:rPr>
        <w:t xml:space="preserve">The </w:t>
      </w:r>
      <w:r>
        <w:rPr>
          <w:rFonts w:eastAsia="Cambria"/>
        </w:rPr>
        <w:t xml:space="preserve">Office </w:t>
      </w:r>
      <w:r w:rsidRPr="005F2353">
        <w:rPr>
          <w:rFonts w:eastAsia="Cambria"/>
        </w:rPr>
        <w:t xml:space="preserve">participated in several events and initiatives to promote gender equity and the prevention of violence against women. These included events </w:t>
      </w:r>
      <w:r w:rsidR="00045670">
        <w:rPr>
          <w:rFonts w:eastAsia="Cambria"/>
        </w:rPr>
        <w:t xml:space="preserve">held during </w:t>
      </w:r>
      <w:r w:rsidRPr="005F2353">
        <w:rPr>
          <w:rFonts w:eastAsia="Cambria"/>
        </w:rPr>
        <w:t>Queensland Women’s Week</w:t>
      </w:r>
      <w:r w:rsidR="00045670">
        <w:rPr>
          <w:rFonts w:eastAsia="Cambria"/>
        </w:rPr>
        <w:t xml:space="preserve"> </w:t>
      </w:r>
      <w:r w:rsidRPr="005F2353">
        <w:rPr>
          <w:rFonts w:eastAsia="Cambria"/>
        </w:rPr>
        <w:t xml:space="preserve">and Queensland’s Domestic and Family Violence Prevention Month. </w:t>
      </w:r>
      <w:r w:rsidR="007C2090" w:rsidRPr="005F2353">
        <w:rPr>
          <w:rFonts w:eastAsia="Cambria"/>
        </w:rPr>
        <w:t xml:space="preserve">The </w:t>
      </w:r>
      <w:r w:rsidR="007C2090">
        <w:rPr>
          <w:rFonts w:eastAsia="Cambria"/>
        </w:rPr>
        <w:t xml:space="preserve">Office </w:t>
      </w:r>
      <w:r w:rsidR="007C2090" w:rsidRPr="005F2353">
        <w:rPr>
          <w:rFonts w:eastAsia="Cambria"/>
        </w:rPr>
        <w:t xml:space="preserve">also partnered with </w:t>
      </w:r>
      <w:r w:rsidR="007C2090">
        <w:rPr>
          <w:rFonts w:eastAsia="Cambria"/>
        </w:rPr>
        <w:t>PSBA and QPS t</w:t>
      </w:r>
      <w:r w:rsidR="007C2090" w:rsidRPr="005F2353">
        <w:rPr>
          <w:rFonts w:eastAsia="Cambria"/>
        </w:rPr>
        <w:t>o host a Trivia Night in July 2017 to celebrate White Ribbon night.</w:t>
      </w:r>
    </w:p>
    <w:p w14:paraId="2A3D00C9" w14:textId="14E80C9D" w:rsidR="00B4292B" w:rsidRPr="005F2353" w:rsidRDefault="007C2090" w:rsidP="00B4292B">
      <w:pPr>
        <w:ind w:left="-142"/>
        <w:rPr>
          <w:rFonts w:eastAsia="Cambria"/>
        </w:rPr>
      </w:pPr>
      <w:r>
        <w:rPr>
          <w:rFonts w:eastAsia="Cambria"/>
        </w:rPr>
        <w:t xml:space="preserve">In 2017-18, the </w:t>
      </w:r>
      <w:r w:rsidR="00B4292B">
        <w:rPr>
          <w:rFonts w:eastAsia="Cambria"/>
        </w:rPr>
        <w:t xml:space="preserve">Office </w:t>
      </w:r>
      <w:r w:rsidR="00B4292B" w:rsidRPr="005F2353">
        <w:rPr>
          <w:rFonts w:eastAsia="Cambria"/>
        </w:rPr>
        <w:t xml:space="preserve">again participated in the Darkness to Daylight Challenge, an annual overnight 110km run </w:t>
      </w:r>
      <w:r>
        <w:rPr>
          <w:rFonts w:eastAsia="Cambria"/>
        </w:rPr>
        <w:t xml:space="preserve">that </w:t>
      </w:r>
      <w:r w:rsidR="00B4292B" w:rsidRPr="005F2353">
        <w:rPr>
          <w:rFonts w:eastAsia="Cambria"/>
        </w:rPr>
        <w:t>raises community awareness and support for those affected by DFV. A team of staff competed in the event by running and walking</w:t>
      </w:r>
      <w:r w:rsidR="00B4292B">
        <w:rPr>
          <w:rFonts w:eastAsia="Cambria"/>
        </w:rPr>
        <w:t xml:space="preserve"> to </w:t>
      </w:r>
      <w:r w:rsidR="00B4292B" w:rsidRPr="005F2353">
        <w:rPr>
          <w:rFonts w:eastAsia="Cambria"/>
        </w:rPr>
        <w:t xml:space="preserve">show support for those affected by DFV. </w:t>
      </w:r>
      <w:r>
        <w:rPr>
          <w:rFonts w:eastAsia="Cambria"/>
        </w:rPr>
        <w:t xml:space="preserve">Staff also attended a </w:t>
      </w:r>
      <w:r w:rsidR="00B4292B" w:rsidRPr="005F2353">
        <w:rPr>
          <w:rFonts w:eastAsia="Cambria"/>
        </w:rPr>
        <w:t>Candlelight Vigil on 2 May 2018 to remember those lost to DFV in the past year.</w:t>
      </w:r>
    </w:p>
    <w:p w14:paraId="0153E71B" w14:textId="77777777" w:rsidR="00B4292B" w:rsidRPr="00F6598D" w:rsidRDefault="00B4292B" w:rsidP="00B4292B">
      <w:pPr>
        <w:spacing w:before="240"/>
        <w:ind w:left="-142"/>
        <w:rPr>
          <w:rFonts w:eastAsia="Cambria"/>
          <w:b/>
          <w:sz w:val="28"/>
          <w:szCs w:val="28"/>
        </w:rPr>
      </w:pPr>
      <w:r w:rsidRPr="0036663B">
        <w:rPr>
          <w:rFonts w:eastAsia="Cambria"/>
          <w:b/>
          <w:sz w:val="28"/>
          <w:szCs w:val="28"/>
        </w:rPr>
        <w:t xml:space="preserve">Employee assistance </w:t>
      </w:r>
    </w:p>
    <w:p w14:paraId="0AD5A03F" w14:textId="4DD35A3B" w:rsidR="00B4292B" w:rsidRPr="005F2353" w:rsidRDefault="006369A6" w:rsidP="00B4292B">
      <w:pPr>
        <w:autoSpaceDE w:val="0"/>
        <w:autoSpaceDN w:val="0"/>
        <w:adjustRightInd w:val="0"/>
        <w:ind w:left="-142"/>
        <w:rPr>
          <w:rFonts w:eastAsia="Arial"/>
        </w:rPr>
      </w:pPr>
      <w:r>
        <w:rPr>
          <w:rFonts w:eastAsia="Arial"/>
        </w:rPr>
        <w:t xml:space="preserve">In 2017-18, an </w:t>
      </w:r>
      <w:r w:rsidR="00E917DE">
        <w:rPr>
          <w:rFonts w:eastAsia="Arial"/>
        </w:rPr>
        <w:t xml:space="preserve">EAP </w:t>
      </w:r>
      <w:r>
        <w:rPr>
          <w:rFonts w:eastAsia="Arial"/>
        </w:rPr>
        <w:t xml:space="preserve">continued to be available to Office employees. </w:t>
      </w:r>
      <w:r w:rsidR="00F02B7D">
        <w:rPr>
          <w:rFonts w:eastAsia="Arial"/>
        </w:rPr>
        <w:t>Through the EAP, a</w:t>
      </w:r>
      <w:r w:rsidR="00F02B7D" w:rsidRPr="005F2353">
        <w:rPr>
          <w:rFonts w:eastAsia="Arial"/>
        </w:rPr>
        <w:t xml:space="preserve">ll </w:t>
      </w:r>
      <w:r w:rsidR="00F02B7D">
        <w:rPr>
          <w:rFonts w:eastAsia="Arial"/>
        </w:rPr>
        <w:t xml:space="preserve">Office </w:t>
      </w:r>
      <w:r w:rsidR="00F02B7D" w:rsidRPr="005F2353">
        <w:rPr>
          <w:rFonts w:eastAsia="Arial"/>
        </w:rPr>
        <w:t>employees and t</w:t>
      </w:r>
      <w:r w:rsidR="00F02B7D">
        <w:rPr>
          <w:rFonts w:eastAsia="Arial"/>
        </w:rPr>
        <w:t>heir immediate family members have a</w:t>
      </w:r>
      <w:r w:rsidR="00F02B7D" w:rsidRPr="005F2353">
        <w:rPr>
          <w:rFonts w:eastAsia="Arial"/>
        </w:rPr>
        <w:t>ccess to a professional, independent and confidential counselling</w:t>
      </w:r>
      <w:r w:rsidR="00F02B7D">
        <w:rPr>
          <w:rFonts w:eastAsia="Arial"/>
        </w:rPr>
        <w:t xml:space="preserve"> and coaching</w:t>
      </w:r>
      <w:r w:rsidR="00F02B7D" w:rsidRPr="005F2353">
        <w:rPr>
          <w:rFonts w:eastAsia="Arial"/>
        </w:rPr>
        <w:t xml:space="preserve"> service</w:t>
      </w:r>
      <w:r w:rsidR="00F02B7D">
        <w:rPr>
          <w:rFonts w:eastAsia="Arial"/>
        </w:rPr>
        <w:t xml:space="preserve">. </w:t>
      </w:r>
      <w:r>
        <w:rPr>
          <w:rFonts w:eastAsia="Arial"/>
        </w:rPr>
        <w:t xml:space="preserve">The EAP promoted </w:t>
      </w:r>
      <w:r w:rsidR="00F02B7D">
        <w:rPr>
          <w:rFonts w:eastAsia="Arial"/>
        </w:rPr>
        <w:t xml:space="preserve">employee </w:t>
      </w:r>
      <w:r w:rsidR="00B4292B" w:rsidRPr="005F2353">
        <w:rPr>
          <w:rFonts w:eastAsia="Arial"/>
        </w:rPr>
        <w:t xml:space="preserve">wellbeing </w:t>
      </w:r>
      <w:r w:rsidR="00F02B7D">
        <w:rPr>
          <w:rFonts w:eastAsia="Arial"/>
        </w:rPr>
        <w:t xml:space="preserve">through </w:t>
      </w:r>
      <w:r w:rsidR="00B4292B" w:rsidRPr="005F2353">
        <w:rPr>
          <w:rFonts w:eastAsia="Arial"/>
        </w:rPr>
        <w:t xml:space="preserve">information and services </w:t>
      </w:r>
      <w:r w:rsidR="00F02B7D">
        <w:rPr>
          <w:rFonts w:eastAsia="Arial"/>
        </w:rPr>
        <w:t xml:space="preserve">designed </w:t>
      </w:r>
      <w:r w:rsidR="00B4292B" w:rsidRPr="005F2353">
        <w:rPr>
          <w:rFonts w:eastAsia="Arial"/>
        </w:rPr>
        <w:t xml:space="preserve">to </w:t>
      </w:r>
      <w:r>
        <w:rPr>
          <w:rFonts w:eastAsia="Arial"/>
        </w:rPr>
        <w:t xml:space="preserve">support </w:t>
      </w:r>
      <w:r w:rsidR="00F02B7D">
        <w:rPr>
          <w:rFonts w:eastAsia="Arial"/>
        </w:rPr>
        <w:t xml:space="preserve">them </w:t>
      </w:r>
      <w:r>
        <w:rPr>
          <w:rFonts w:eastAsia="Arial"/>
        </w:rPr>
        <w:t xml:space="preserve">to </w:t>
      </w:r>
      <w:r w:rsidR="00B4292B" w:rsidRPr="005F2353">
        <w:rPr>
          <w:rFonts w:eastAsia="Arial"/>
        </w:rPr>
        <w:t xml:space="preserve">effectively manage their professional and personal wellbeing. </w:t>
      </w:r>
    </w:p>
    <w:p w14:paraId="40715586" w14:textId="77777777" w:rsidR="00B4292B" w:rsidRPr="00F02B7D" w:rsidRDefault="00B4292B" w:rsidP="00F02B7D">
      <w:pPr>
        <w:autoSpaceDE w:val="0"/>
        <w:autoSpaceDN w:val="0"/>
        <w:adjustRightInd w:val="0"/>
        <w:ind w:left="-142"/>
        <w:rPr>
          <w:rFonts w:eastAsia="Cambria"/>
          <w:b/>
        </w:rPr>
      </w:pPr>
      <w:r w:rsidRPr="00F02B7D">
        <w:rPr>
          <w:rFonts w:eastAsia="Cambria"/>
          <w:b/>
          <w:sz w:val="28"/>
          <w:szCs w:val="28"/>
        </w:rPr>
        <w:t xml:space="preserve">Health and wellbeing </w:t>
      </w:r>
    </w:p>
    <w:p w14:paraId="56EAC357" w14:textId="77777777" w:rsidR="00B4292B" w:rsidRPr="00F02B7D" w:rsidRDefault="00B4292B" w:rsidP="00F02B7D">
      <w:pPr>
        <w:pStyle w:val="Default"/>
        <w:spacing w:before="120" w:after="120"/>
        <w:ind w:left="-142"/>
        <w:rPr>
          <w:sz w:val="22"/>
          <w:szCs w:val="22"/>
          <w:u w:val="none"/>
        </w:rPr>
      </w:pPr>
      <w:bookmarkStart w:id="96" w:name="_Hlk519277192"/>
      <w:r w:rsidRPr="00F02B7D">
        <w:rPr>
          <w:sz w:val="22"/>
          <w:szCs w:val="22"/>
          <w:u w:val="none"/>
        </w:rPr>
        <w:t xml:space="preserve">The Office is committed to fostering a supportive working environment which assists employees in maintaining health and wellbeing. </w:t>
      </w:r>
    </w:p>
    <w:p w14:paraId="0754D80C" w14:textId="77777777" w:rsidR="00B4292B" w:rsidRPr="00F02B7D" w:rsidRDefault="00B4292B" w:rsidP="00F02B7D">
      <w:pPr>
        <w:pStyle w:val="Default"/>
        <w:spacing w:before="120" w:after="120"/>
        <w:ind w:left="-142"/>
        <w:rPr>
          <w:sz w:val="22"/>
          <w:szCs w:val="22"/>
          <w:u w:val="none"/>
        </w:rPr>
      </w:pPr>
      <w:r w:rsidRPr="00F02B7D">
        <w:rPr>
          <w:sz w:val="22"/>
          <w:szCs w:val="22"/>
          <w:u w:val="none"/>
        </w:rPr>
        <w:t xml:space="preserve">A number of initiatives, articles and information were promoted and featured during Safe Work Month in October 2017 to raise awareness of health and safety in the workplace and support employee wellbeing. This included an information session on </w:t>
      </w:r>
      <w:r w:rsidR="00545A8A">
        <w:rPr>
          <w:sz w:val="22"/>
          <w:szCs w:val="22"/>
          <w:u w:val="none"/>
        </w:rPr>
        <w:t>s</w:t>
      </w:r>
      <w:r w:rsidRPr="00F02B7D">
        <w:rPr>
          <w:sz w:val="22"/>
          <w:szCs w:val="22"/>
          <w:u w:val="none"/>
        </w:rPr>
        <w:t xml:space="preserve">upporting </w:t>
      </w:r>
      <w:r w:rsidR="00545A8A">
        <w:rPr>
          <w:sz w:val="22"/>
          <w:szCs w:val="22"/>
          <w:u w:val="none"/>
        </w:rPr>
        <w:t>e</w:t>
      </w:r>
      <w:r w:rsidRPr="00F02B7D">
        <w:rPr>
          <w:sz w:val="22"/>
          <w:szCs w:val="22"/>
          <w:u w:val="none"/>
        </w:rPr>
        <w:t xml:space="preserve">mployee </w:t>
      </w:r>
      <w:r w:rsidR="00545A8A">
        <w:rPr>
          <w:sz w:val="22"/>
          <w:szCs w:val="22"/>
          <w:u w:val="none"/>
        </w:rPr>
        <w:t>h</w:t>
      </w:r>
      <w:r w:rsidRPr="00F02B7D">
        <w:rPr>
          <w:sz w:val="22"/>
          <w:szCs w:val="22"/>
          <w:u w:val="none"/>
        </w:rPr>
        <w:t xml:space="preserve">ealth and </w:t>
      </w:r>
      <w:r w:rsidR="00545A8A">
        <w:rPr>
          <w:sz w:val="22"/>
          <w:szCs w:val="22"/>
          <w:u w:val="none"/>
        </w:rPr>
        <w:t>w</w:t>
      </w:r>
      <w:r w:rsidRPr="00F02B7D">
        <w:rPr>
          <w:sz w:val="22"/>
          <w:szCs w:val="22"/>
          <w:u w:val="none"/>
        </w:rPr>
        <w:t>ellbeing</w:t>
      </w:r>
      <w:r w:rsidR="00545A8A">
        <w:rPr>
          <w:sz w:val="22"/>
          <w:szCs w:val="22"/>
          <w:u w:val="none"/>
        </w:rPr>
        <w:t xml:space="preserve">, delivered by the </w:t>
      </w:r>
      <w:r w:rsidRPr="00F02B7D">
        <w:rPr>
          <w:sz w:val="22"/>
          <w:szCs w:val="22"/>
          <w:u w:val="none"/>
        </w:rPr>
        <w:t>Office</w:t>
      </w:r>
      <w:r w:rsidR="00545A8A">
        <w:rPr>
          <w:sz w:val="22"/>
          <w:szCs w:val="22"/>
          <w:u w:val="none"/>
        </w:rPr>
        <w:t>’s EAP s</w:t>
      </w:r>
      <w:r w:rsidRPr="00F02B7D">
        <w:rPr>
          <w:sz w:val="22"/>
          <w:szCs w:val="22"/>
          <w:u w:val="none"/>
        </w:rPr>
        <w:t>ervice provider</w:t>
      </w:r>
      <w:r w:rsidR="00545A8A">
        <w:rPr>
          <w:sz w:val="22"/>
          <w:szCs w:val="22"/>
          <w:u w:val="none"/>
        </w:rPr>
        <w:t>.</w:t>
      </w:r>
    </w:p>
    <w:p w14:paraId="5CF0E600" w14:textId="77777777" w:rsidR="00B4292B" w:rsidRPr="00F02B7D" w:rsidRDefault="00B4292B" w:rsidP="00F02B7D">
      <w:pPr>
        <w:pStyle w:val="Default"/>
        <w:spacing w:before="120" w:after="120"/>
        <w:ind w:left="-142"/>
        <w:rPr>
          <w:sz w:val="22"/>
          <w:szCs w:val="22"/>
          <w:u w:val="none"/>
        </w:rPr>
      </w:pPr>
      <w:r w:rsidRPr="00F02B7D">
        <w:rPr>
          <w:sz w:val="22"/>
          <w:szCs w:val="22"/>
          <w:u w:val="none"/>
        </w:rPr>
        <w:t xml:space="preserve">In September 2017, the Office participated in a program </w:t>
      </w:r>
      <w:r w:rsidR="007B51BB">
        <w:rPr>
          <w:sz w:val="22"/>
          <w:szCs w:val="22"/>
          <w:u w:val="none"/>
        </w:rPr>
        <w:t>that</w:t>
      </w:r>
      <w:r w:rsidRPr="00F02B7D">
        <w:rPr>
          <w:sz w:val="22"/>
          <w:szCs w:val="22"/>
          <w:u w:val="none"/>
        </w:rPr>
        <w:t xml:space="preserve"> offered employees the opportunity to attend </w:t>
      </w:r>
      <w:r w:rsidR="007B51BB">
        <w:rPr>
          <w:sz w:val="22"/>
          <w:szCs w:val="22"/>
          <w:u w:val="none"/>
          <w:lang w:val="en-US"/>
        </w:rPr>
        <w:t>compli</w:t>
      </w:r>
      <w:r w:rsidRPr="00F02B7D">
        <w:rPr>
          <w:sz w:val="22"/>
          <w:szCs w:val="22"/>
          <w:u w:val="none"/>
          <w:lang w:val="en-US"/>
        </w:rPr>
        <w:t xml:space="preserve">mentary checks to assess the risk of stroke. This was undertaken through a professional </w:t>
      </w:r>
      <w:r w:rsidRPr="00F02B7D">
        <w:rPr>
          <w:sz w:val="22"/>
          <w:szCs w:val="22"/>
          <w:u w:val="none"/>
        </w:rPr>
        <w:t>not-for profit organisation. Coinciding with National Stroke Week, it provided the opportunity to raise awareness of the risk factors</w:t>
      </w:r>
      <w:r w:rsidR="007B51BB">
        <w:rPr>
          <w:sz w:val="22"/>
          <w:szCs w:val="22"/>
          <w:u w:val="none"/>
        </w:rPr>
        <w:t xml:space="preserve"> and </w:t>
      </w:r>
      <w:r w:rsidRPr="00F02B7D">
        <w:rPr>
          <w:sz w:val="22"/>
          <w:szCs w:val="22"/>
          <w:u w:val="none"/>
        </w:rPr>
        <w:t xml:space="preserve">signs of stroke.  </w:t>
      </w:r>
    </w:p>
    <w:p w14:paraId="20B47D32" w14:textId="77777777" w:rsidR="00B4292B" w:rsidRPr="00F02B7D" w:rsidRDefault="00B4292B" w:rsidP="007B51BB">
      <w:pPr>
        <w:pStyle w:val="Default"/>
        <w:spacing w:before="120" w:after="120"/>
        <w:ind w:left="-142"/>
        <w:rPr>
          <w:b/>
          <w:bCs/>
          <w:sz w:val="22"/>
          <w:szCs w:val="22"/>
          <w:u w:val="none"/>
        </w:rPr>
      </w:pPr>
      <w:r w:rsidRPr="00F02B7D">
        <w:rPr>
          <w:sz w:val="22"/>
          <w:szCs w:val="22"/>
          <w:u w:val="none"/>
        </w:rPr>
        <w:t>In June 2018</w:t>
      </w:r>
      <w:r w:rsidR="007B51BB">
        <w:rPr>
          <w:sz w:val="22"/>
          <w:szCs w:val="22"/>
          <w:u w:val="none"/>
        </w:rPr>
        <w:t xml:space="preserve">, the </w:t>
      </w:r>
      <w:r w:rsidRPr="00F02B7D">
        <w:rPr>
          <w:sz w:val="22"/>
          <w:szCs w:val="22"/>
          <w:u w:val="none"/>
        </w:rPr>
        <w:t>Office participated in the Wellness @ Work Month initiative. During this month employees were invited to attend various events and activities t</w:t>
      </w:r>
      <w:r w:rsidR="007B51BB">
        <w:rPr>
          <w:sz w:val="22"/>
          <w:szCs w:val="22"/>
          <w:u w:val="none"/>
        </w:rPr>
        <w:t>o promote health and wellbeing, including a</w:t>
      </w:r>
      <w:r w:rsidRPr="00F02B7D">
        <w:rPr>
          <w:sz w:val="22"/>
          <w:szCs w:val="22"/>
          <w:u w:val="none"/>
        </w:rPr>
        <w:t xml:space="preserve"> Health and Wellbeing Expo which featured stalls and information from a range of exhibitors </w:t>
      </w:r>
      <w:r w:rsidR="007B51BB">
        <w:rPr>
          <w:sz w:val="22"/>
          <w:szCs w:val="22"/>
          <w:u w:val="none"/>
        </w:rPr>
        <w:t>to support a healthy lifestyle; w</w:t>
      </w:r>
      <w:r w:rsidRPr="00F02B7D">
        <w:rPr>
          <w:sz w:val="22"/>
          <w:szCs w:val="22"/>
          <w:u w:val="none"/>
        </w:rPr>
        <w:t xml:space="preserve">ellbeing </w:t>
      </w:r>
      <w:r w:rsidR="007B51BB">
        <w:rPr>
          <w:sz w:val="22"/>
          <w:szCs w:val="22"/>
          <w:u w:val="none"/>
        </w:rPr>
        <w:t>w</w:t>
      </w:r>
      <w:r w:rsidRPr="00F02B7D">
        <w:rPr>
          <w:sz w:val="22"/>
          <w:szCs w:val="22"/>
          <w:u w:val="none"/>
        </w:rPr>
        <w:t xml:space="preserve">orkshops </w:t>
      </w:r>
      <w:r w:rsidR="007B51BB">
        <w:rPr>
          <w:sz w:val="22"/>
          <w:szCs w:val="22"/>
          <w:u w:val="none"/>
        </w:rPr>
        <w:t>focused on b</w:t>
      </w:r>
      <w:r w:rsidRPr="00F02B7D">
        <w:rPr>
          <w:sz w:val="22"/>
          <w:szCs w:val="22"/>
          <w:u w:val="none"/>
        </w:rPr>
        <w:t xml:space="preserve">uilding </w:t>
      </w:r>
      <w:r w:rsidR="007B51BB">
        <w:rPr>
          <w:sz w:val="22"/>
          <w:szCs w:val="22"/>
          <w:u w:val="none"/>
        </w:rPr>
        <w:t>r</w:t>
      </w:r>
      <w:r w:rsidRPr="00F02B7D">
        <w:rPr>
          <w:sz w:val="22"/>
          <w:szCs w:val="22"/>
          <w:u w:val="none"/>
        </w:rPr>
        <w:t xml:space="preserve">esilience, </w:t>
      </w:r>
      <w:r w:rsidR="007B51BB">
        <w:rPr>
          <w:sz w:val="22"/>
          <w:szCs w:val="22"/>
          <w:u w:val="none"/>
        </w:rPr>
        <w:t>b</w:t>
      </w:r>
      <w:r w:rsidRPr="00F02B7D">
        <w:rPr>
          <w:sz w:val="22"/>
          <w:szCs w:val="22"/>
          <w:u w:val="none"/>
        </w:rPr>
        <w:t xml:space="preserve">alancing your </w:t>
      </w:r>
      <w:r w:rsidR="007B51BB">
        <w:rPr>
          <w:sz w:val="22"/>
          <w:szCs w:val="22"/>
          <w:u w:val="none"/>
        </w:rPr>
        <w:t>l</w:t>
      </w:r>
      <w:r w:rsidRPr="00F02B7D">
        <w:rPr>
          <w:sz w:val="22"/>
          <w:szCs w:val="22"/>
          <w:u w:val="none"/>
        </w:rPr>
        <w:t xml:space="preserve">ife </w:t>
      </w:r>
      <w:r w:rsidR="007B51BB">
        <w:rPr>
          <w:sz w:val="22"/>
          <w:szCs w:val="22"/>
          <w:u w:val="none"/>
        </w:rPr>
        <w:t>and m</w:t>
      </w:r>
      <w:r w:rsidRPr="00F02B7D">
        <w:rPr>
          <w:sz w:val="22"/>
          <w:szCs w:val="22"/>
          <w:u w:val="none"/>
        </w:rPr>
        <w:t xml:space="preserve">anaging </w:t>
      </w:r>
      <w:r w:rsidR="007B51BB">
        <w:rPr>
          <w:sz w:val="22"/>
          <w:szCs w:val="22"/>
          <w:u w:val="none"/>
        </w:rPr>
        <w:t>w</w:t>
      </w:r>
      <w:r w:rsidRPr="00F02B7D">
        <w:rPr>
          <w:sz w:val="22"/>
          <w:szCs w:val="22"/>
          <w:u w:val="none"/>
        </w:rPr>
        <w:t xml:space="preserve">ork </w:t>
      </w:r>
      <w:r w:rsidR="007B51BB">
        <w:rPr>
          <w:sz w:val="22"/>
          <w:szCs w:val="22"/>
          <w:u w:val="none"/>
        </w:rPr>
        <w:t>p</w:t>
      </w:r>
      <w:r w:rsidRPr="00F02B7D">
        <w:rPr>
          <w:sz w:val="22"/>
          <w:szCs w:val="22"/>
          <w:u w:val="none"/>
        </w:rPr>
        <w:t>ressures</w:t>
      </w:r>
      <w:r w:rsidR="007B51BB">
        <w:rPr>
          <w:sz w:val="22"/>
          <w:szCs w:val="22"/>
          <w:u w:val="none"/>
        </w:rPr>
        <w:t>; f</w:t>
      </w:r>
      <w:r w:rsidRPr="00F02B7D">
        <w:rPr>
          <w:sz w:val="22"/>
          <w:szCs w:val="22"/>
          <w:u w:val="none"/>
        </w:rPr>
        <w:t xml:space="preserve">inancial </w:t>
      </w:r>
      <w:r w:rsidR="007B51BB">
        <w:rPr>
          <w:sz w:val="22"/>
          <w:szCs w:val="22"/>
          <w:u w:val="none"/>
        </w:rPr>
        <w:t>w</w:t>
      </w:r>
      <w:r w:rsidRPr="00F02B7D">
        <w:rPr>
          <w:sz w:val="22"/>
          <w:szCs w:val="22"/>
          <w:u w:val="none"/>
        </w:rPr>
        <w:t xml:space="preserve">ellbeing </w:t>
      </w:r>
      <w:r w:rsidR="007B51BB">
        <w:rPr>
          <w:sz w:val="22"/>
          <w:szCs w:val="22"/>
          <w:u w:val="none"/>
        </w:rPr>
        <w:t>s</w:t>
      </w:r>
      <w:r w:rsidRPr="00F02B7D">
        <w:rPr>
          <w:sz w:val="22"/>
          <w:szCs w:val="22"/>
          <w:u w:val="none"/>
        </w:rPr>
        <w:t>eminars</w:t>
      </w:r>
      <w:r w:rsidR="007B51BB">
        <w:rPr>
          <w:sz w:val="22"/>
          <w:szCs w:val="22"/>
          <w:u w:val="none"/>
        </w:rPr>
        <w:t>; y</w:t>
      </w:r>
      <w:r w:rsidRPr="00F02B7D">
        <w:rPr>
          <w:sz w:val="22"/>
          <w:szCs w:val="22"/>
          <w:u w:val="none"/>
        </w:rPr>
        <w:t>oga classes</w:t>
      </w:r>
      <w:r w:rsidR="007B51BB">
        <w:rPr>
          <w:sz w:val="22"/>
          <w:szCs w:val="22"/>
          <w:u w:val="none"/>
        </w:rPr>
        <w:t>; and n</w:t>
      </w:r>
      <w:r w:rsidRPr="00F02B7D">
        <w:rPr>
          <w:sz w:val="22"/>
          <w:szCs w:val="22"/>
          <w:u w:val="none"/>
        </w:rPr>
        <w:t xml:space="preserve">utrition </w:t>
      </w:r>
      <w:r w:rsidR="007B51BB">
        <w:rPr>
          <w:sz w:val="22"/>
          <w:szCs w:val="22"/>
          <w:u w:val="none"/>
        </w:rPr>
        <w:t>s</w:t>
      </w:r>
      <w:r w:rsidRPr="00F02B7D">
        <w:rPr>
          <w:sz w:val="22"/>
          <w:szCs w:val="22"/>
          <w:u w:val="none"/>
        </w:rPr>
        <w:t>eminars</w:t>
      </w:r>
      <w:r w:rsidR="007B51BB">
        <w:rPr>
          <w:sz w:val="22"/>
          <w:szCs w:val="22"/>
          <w:u w:val="none"/>
        </w:rPr>
        <w:t>.</w:t>
      </w:r>
    </w:p>
    <w:bookmarkEnd w:id="96"/>
    <w:p w14:paraId="4733AFEB" w14:textId="77777777" w:rsidR="00B4292B" w:rsidRPr="0036663B" w:rsidRDefault="00B4292B" w:rsidP="00B4292B">
      <w:pPr>
        <w:spacing w:before="240"/>
        <w:ind w:left="-142"/>
        <w:rPr>
          <w:rFonts w:eastAsia="Cambria"/>
          <w:b/>
          <w:sz w:val="28"/>
          <w:szCs w:val="28"/>
        </w:rPr>
      </w:pPr>
      <w:r w:rsidRPr="0036663B">
        <w:rPr>
          <w:rFonts w:eastAsia="Cambria"/>
          <w:b/>
          <w:sz w:val="28"/>
          <w:szCs w:val="28"/>
        </w:rPr>
        <w:t xml:space="preserve">Workplace health and safety </w:t>
      </w:r>
    </w:p>
    <w:p w14:paraId="24F0B286" w14:textId="77777777" w:rsidR="00B4292B" w:rsidRPr="00223876" w:rsidRDefault="00B4292B" w:rsidP="00B4292B">
      <w:pPr>
        <w:autoSpaceDE w:val="0"/>
        <w:autoSpaceDN w:val="0"/>
        <w:adjustRightInd w:val="0"/>
        <w:ind w:left="-142"/>
        <w:rPr>
          <w:rFonts w:eastAsia="Cambria"/>
        </w:rPr>
      </w:pPr>
      <w:r>
        <w:rPr>
          <w:rFonts w:eastAsia="Cambria"/>
        </w:rPr>
        <w:t>The Office is committed to meeting its w</w:t>
      </w:r>
      <w:r w:rsidRPr="00223876">
        <w:rPr>
          <w:rFonts w:eastAsia="Cambria"/>
        </w:rPr>
        <w:t>orkplace health and safety</w:t>
      </w:r>
      <w:r>
        <w:rPr>
          <w:rFonts w:eastAsia="Cambria"/>
        </w:rPr>
        <w:t xml:space="preserve"> obligations. </w:t>
      </w:r>
      <w:r w:rsidR="00A7223A">
        <w:rPr>
          <w:rFonts w:eastAsia="Cambria"/>
        </w:rPr>
        <w:t>In 2017-18, the Office promoted EAP s</w:t>
      </w:r>
      <w:r w:rsidRPr="00223876">
        <w:rPr>
          <w:rFonts w:eastAsia="Cambria"/>
        </w:rPr>
        <w:t>upport services, DFV awareness programs and the management of inju</w:t>
      </w:r>
      <w:r w:rsidR="00A7223A">
        <w:rPr>
          <w:rFonts w:eastAsia="Cambria"/>
        </w:rPr>
        <w:t xml:space="preserve">ry and illness in the workplace to employees. </w:t>
      </w:r>
    </w:p>
    <w:p w14:paraId="40FD8497" w14:textId="77777777" w:rsidR="00B4292B" w:rsidRPr="00223876" w:rsidRDefault="00B4292B" w:rsidP="00B4292B">
      <w:pPr>
        <w:autoSpaceDE w:val="0"/>
        <w:autoSpaceDN w:val="0"/>
        <w:adjustRightInd w:val="0"/>
        <w:ind w:left="-142"/>
        <w:rPr>
          <w:rFonts w:eastAsia="Cambria"/>
        </w:rPr>
      </w:pPr>
      <w:r w:rsidRPr="00223876">
        <w:rPr>
          <w:rFonts w:eastAsia="Cambria"/>
        </w:rPr>
        <w:t xml:space="preserve">The </w:t>
      </w:r>
      <w:r>
        <w:rPr>
          <w:rFonts w:eastAsia="Cambria"/>
        </w:rPr>
        <w:t xml:space="preserve">Office </w:t>
      </w:r>
      <w:r w:rsidR="00A7223A">
        <w:rPr>
          <w:rFonts w:eastAsia="Cambria"/>
        </w:rPr>
        <w:t xml:space="preserve">continued to </w:t>
      </w:r>
      <w:r>
        <w:rPr>
          <w:rFonts w:eastAsia="Cambria"/>
        </w:rPr>
        <w:t xml:space="preserve">supported </w:t>
      </w:r>
      <w:r w:rsidRPr="00223876">
        <w:rPr>
          <w:rFonts w:eastAsia="Cambria"/>
        </w:rPr>
        <w:t>injured or ill employees through proactive case management and the development of rehabilitation and return to work plans</w:t>
      </w:r>
      <w:r w:rsidR="00A7223A">
        <w:rPr>
          <w:rFonts w:eastAsia="Cambria"/>
        </w:rPr>
        <w:t xml:space="preserve"> on a case-by-case basis.</w:t>
      </w:r>
    </w:p>
    <w:p w14:paraId="58D45A63" w14:textId="77777777" w:rsidR="00B4292B" w:rsidRPr="00223876" w:rsidRDefault="00B4292B" w:rsidP="00B4292B">
      <w:pPr>
        <w:autoSpaceDE w:val="0"/>
        <w:autoSpaceDN w:val="0"/>
        <w:adjustRightInd w:val="0"/>
        <w:ind w:left="-142"/>
        <w:rPr>
          <w:rFonts w:eastAsia="Cambria"/>
        </w:rPr>
      </w:pPr>
      <w:r w:rsidRPr="00223876">
        <w:rPr>
          <w:rFonts w:eastAsia="Cambria"/>
        </w:rPr>
        <w:t xml:space="preserve">The </w:t>
      </w:r>
      <w:r>
        <w:rPr>
          <w:rFonts w:eastAsia="Cambria"/>
        </w:rPr>
        <w:t xml:space="preserve">Office </w:t>
      </w:r>
      <w:r w:rsidR="00A7223A">
        <w:rPr>
          <w:rFonts w:eastAsia="Cambria"/>
        </w:rPr>
        <w:t xml:space="preserve">is </w:t>
      </w:r>
      <w:r>
        <w:rPr>
          <w:rFonts w:eastAsia="Cambria"/>
        </w:rPr>
        <w:t xml:space="preserve">working with the </w:t>
      </w:r>
      <w:r w:rsidRPr="00223876">
        <w:rPr>
          <w:rFonts w:eastAsia="Cambria"/>
        </w:rPr>
        <w:t xml:space="preserve">PSBA to review and develop relevant policies, templates and guidelines </w:t>
      </w:r>
      <w:r>
        <w:rPr>
          <w:rFonts w:eastAsia="Cambria"/>
        </w:rPr>
        <w:t>to ensure</w:t>
      </w:r>
      <w:r w:rsidRPr="00223876">
        <w:rPr>
          <w:rFonts w:eastAsia="Cambria"/>
        </w:rPr>
        <w:t xml:space="preserve"> obligations under workplace health and safety legislati</w:t>
      </w:r>
      <w:r w:rsidR="00A7223A">
        <w:rPr>
          <w:rFonts w:eastAsia="Cambria"/>
        </w:rPr>
        <w:t>on continue to be met</w:t>
      </w:r>
      <w:r w:rsidRPr="00223876">
        <w:rPr>
          <w:rFonts w:eastAsia="Cambria"/>
        </w:rPr>
        <w:t xml:space="preserve">. </w:t>
      </w:r>
      <w:r w:rsidR="00A7223A">
        <w:rPr>
          <w:rFonts w:eastAsia="Cambria"/>
        </w:rPr>
        <w:t xml:space="preserve">In </w:t>
      </w:r>
      <w:r w:rsidR="00A7223A">
        <w:rPr>
          <w:rFonts w:eastAsia="Cambria"/>
        </w:rPr>
        <w:lastRenderedPageBreak/>
        <w:t xml:space="preserve">collaboration with the </w:t>
      </w:r>
      <w:r>
        <w:rPr>
          <w:rFonts w:eastAsia="Cambria"/>
        </w:rPr>
        <w:t>PSBA</w:t>
      </w:r>
      <w:r w:rsidR="001935AB">
        <w:rPr>
          <w:rFonts w:eastAsia="Cambria"/>
        </w:rPr>
        <w:t>, a p</w:t>
      </w:r>
      <w:r w:rsidRPr="00223876">
        <w:rPr>
          <w:rFonts w:eastAsia="Cambria"/>
        </w:rPr>
        <w:t xml:space="preserve">andemic </w:t>
      </w:r>
      <w:r w:rsidR="001935AB">
        <w:rPr>
          <w:rFonts w:eastAsia="Cambria"/>
        </w:rPr>
        <w:t>p</w:t>
      </w:r>
      <w:r w:rsidRPr="00223876">
        <w:rPr>
          <w:rFonts w:eastAsia="Cambria"/>
        </w:rPr>
        <w:t>lan</w:t>
      </w:r>
      <w:r w:rsidR="001935AB">
        <w:rPr>
          <w:rFonts w:eastAsia="Cambria"/>
        </w:rPr>
        <w:t xml:space="preserve"> has been developed</w:t>
      </w:r>
      <w:r w:rsidRPr="00223876">
        <w:rPr>
          <w:rFonts w:eastAsia="Cambria"/>
        </w:rPr>
        <w:t xml:space="preserve">. The Plan provides direction on minimising the health consequences of an influenza pandemic on employees and disruption to business operations. </w:t>
      </w:r>
    </w:p>
    <w:p w14:paraId="659C7762" w14:textId="77777777" w:rsidR="00B4292B" w:rsidRPr="00223876" w:rsidRDefault="00B4292B" w:rsidP="00B4292B">
      <w:pPr>
        <w:autoSpaceDE w:val="0"/>
        <w:autoSpaceDN w:val="0"/>
        <w:adjustRightInd w:val="0"/>
        <w:ind w:left="-142"/>
        <w:rPr>
          <w:rFonts w:eastAsia="Cambria"/>
        </w:rPr>
      </w:pPr>
      <w:r w:rsidRPr="00223876">
        <w:rPr>
          <w:rFonts w:eastAsia="Cambria"/>
        </w:rPr>
        <w:t xml:space="preserve">In April and May 2018, the annual influenza vaccination program was offered to </w:t>
      </w:r>
      <w:r>
        <w:rPr>
          <w:rFonts w:eastAsia="Cambria"/>
        </w:rPr>
        <w:t xml:space="preserve">Office </w:t>
      </w:r>
      <w:r w:rsidRPr="00223876">
        <w:rPr>
          <w:rFonts w:eastAsia="Cambria"/>
        </w:rPr>
        <w:t xml:space="preserve">employees. A large proportion of employees registered to receive a vaccination. </w:t>
      </w:r>
    </w:p>
    <w:p w14:paraId="3E9CC843" w14:textId="77777777" w:rsidR="00B4292B" w:rsidRPr="00D97DEE" w:rsidRDefault="00B4292B" w:rsidP="00B4292B">
      <w:pPr>
        <w:keepNext/>
        <w:keepLines/>
        <w:spacing w:before="240"/>
        <w:ind w:left="-142"/>
        <w:outlineLvl w:val="2"/>
        <w:rPr>
          <w:rFonts w:ascii="Arial Bold" w:eastAsia="Calibri" w:hAnsi="Arial Bold"/>
          <w:b/>
          <w:bCs/>
          <w:sz w:val="28"/>
          <w:szCs w:val="28"/>
          <w14:ligatures w14:val="standardContextual"/>
        </w:rPr>
      </w:pPr>
      <w:r w:rsidRPr="00D97DEE">
        <w:rPr>
          <w:rFonts w:ascii="Arial Bold" w:eastAsia="Calibri" w:hAnsi="Arial Bold"/>
          <w:b/>
          <w:bCs/>
          <w:sz w:val="28"/>
          <w:szCs w:val="28"/>
          <w14:ligatures w14:val="standardContextual"/>
        </w:rPr>
        <w:t xml:space="preserve">Early retirement, redundancy and retrenchment  </w:t>
      </w:r>
    </w:p>
    <w:p w14:paraId="1FBB8E21" w14:textId="77777777" w:rsidR="00B4292B" w:rsidRPr="00F15BA5" w:rsidRDefault="00B4292B" w:rsidP="00B4292B">
      <w:pPr>
        <w:autoSpaceDE w:val="0"/>
        <w:autoSpaceDN w:val="0"/>
        <w:adjustRightInd w:val="0"/>
        <w:ind w:left="-142"/>
        <w:rPr>
          <w:rFonts w:eastAsia="Cambria"/>
        </w:rPr>
      </w:pPr>
      <w:r w:rsidRPr="00D3307B">
        <w:rPr>
          <w:rFonts w:eastAsia="Cambria"/>
        </w:rPr>
        <w:t>No early retirement, redundancy or retrenchment package</w:t>
      </w:r>
      <w:r w:rsidR="00545A8A">
        <w:rPr>
          <w:rFonts w:eastAsia="Cambria"/>
        </w:rPr>
        <w:t xml:space="preserve">s were paid </w:t>
      </w:r>
      <w:r w:rsidR="005B1B72">
        <w:rPr>
          <w:rFonts w:eastAsia="Cambria"/>
        </w:rPr>
        <w:t xml:space="preserve">to Office employees </w:t>
      </w:r>
      <w:r w:rsidR="00545A8A">
        <w:rPr>
          <w:rFonts w:eastAsia="Cambria"/>
        </w:rPr>
        <w:t xml:space="preserve">during the period 1 </w:t>
      </w:r>
      <w:r w:rsidRPr="00D3307B">
        <w:rPr>
          <w:rFonts w:eastAsia="Cambria"/>
        </w:rPr>
        <w:t>July 2017 to 30 June 2018.</w:t>
      </w:r>
    </w:p>
    <w:p w14:paraId="79484F04" w14:textId="77777777" w:rsidR="00DB4064" w:rsidRDefault="00DB4064">
      <w:pPr>
        <w:rPr>
          <w:rFonts w:eastAsia="Cambria"/>
        </w:rPr>
      </w:pPr>
      <w:bookmarkStart w:id="97" w:name="_Toc442339181"/>
      <w:r>
        <w:rPr>
          <w:rFonts w:eastAsia="Cambria"/>
        </w:rPr>
        <w:br w:type="page"/>
      </w:r>
    </w:p>
    <w:p w14:paraId="660C5425" w14:textId="77777777" w:rsidR="009D6B00" w:rsidRDefault="00DB4064" w:rsidP="00DB4064">
      <w:pPr>
        <w:pStyle w:val="Heading1"/>
        <w:ind w:left="0" w:right="77"/>
        <w:rPr>
          <w:noProof/>
        </w:rPr>
      </w:pPr>
      <w:bookmarkStart w:id="98" w:name="_Toc492556604"/>
      <w:bookmarkStart w:id="99" w:name="_Toc522266476"/>
      <w:bookmarkStart w:id="100" w:name="_Toc524519420"/>
      <w:r>
        <w:lastRenderedPageBreak/>
        <w:t>Financial s</w:t>
      </w:r>
      <w:r w:rsidRPr="00341581">
        <w:t>tatements</w:t>
      </w:r>
      <w:bookmarkEnd w:id="98"/>
      <w:r w:rsidR="00495B20">
        <w:t xml:space="preserve"> – Table of Contents</w:t>
      </w:r>
      <w:bookmarkEnd w:id="99"/>
      <w:bookmarkEnd w:id="100"/>
      <w:r>
        <w:rPr>
          <w:rFonts w:eastAsia="Cambria"/>
        </w:rPr>
        <w:fldChar w:fldCharType="begin"/>
      </w:r>
      <w:r>
        <w:rPr>
          <w:rFonts w:eastAsia="Cambria"/>
        </w:rPr>
        <w:instrText xml:space="preserve"> TOC \b financials \* MERGEFORMAT </w:instrText>
      </w:r>
      <w:r>
        <w:rPr>
          <w:rFonts w:eastAsia="Cambria"/>
        </w:rPr>
        <w:fldChar w:fldCharType="separate"/>
      </w:r>
    </w:p>
    <w:p w14:paraId="02050DD9" w14:textId="3E1A4D26" w:rsidR="009D6B00" w:rsidRDefault="009D6B00">
      <w:pPr>
        <w:pStyle w:val="TOC2"/>
        <w:rPr>
          <w:rFonts w:asciiTheme="minorHAnsi" w:eastAsiaTheme="minorEastAsia" w:hAnsiTheme="minorHAnsi" w:cstheme="minorBidi"/>
          <w:noProof/>
          <w:kern w:val="0"/>
          <w:szCs w:val="22"/>
          <w:lang w:eastAsia="en-AU"/>
        </w:rPr>
      </w:pPr>
      <w:r>
        <w:rPr>
          <w:noProof/>
        </w:rPr>
        <w:t>Statement of comprehensive income</w:t>
      </w:r>
      <w:r>
        <w:rPr>
          <w:noProof/>
        </w:rPr>
        <w:tab/>
      </w:r>
      <w:r>
        <w:rPr>
          <w:noProof/>
        </w:rPr>
        <w:fldChar w:fldCharType="begin"/>
      </w:r>
      <w:r>
        <w:rPr>
          <w:noProof/>
        </w:rPr>
        <w:instrText xml:space="preserve"> PAGEREF _Toc523402641 \h </w:instrText>
      </w:r>
      <w:r>
        <w:rPr>
          <w:noProof/>
        </w:rPr>
      </w:r>
      <w:r>
        <w:rPr>
          <w:noProof/>
        </w:rPr>
        <w:fldChar w:fldCharType="separate"/>
      </w:r>
      <w:r w:rsidR="00F5629C">
        <w:rPr>
          <w:noProof/>
        </w:rPr>
        <w:t>36</w:t>
      </w:r>
      <w:r>
        <w:rPr>
          <w:noProof/>
        </w:rPr>
        <w:fldChar w:fldCharType="end"/>
      </w:r>
    </w:p>
    <w:p w14:paraId="16F101B8" w14:textId="523A1D28" w:rsidR="009D6B00" w:rsidRDefault="009D6B00">
      <w:pPr>
        <w:pStyle w:val="TOC2"/>
        <w:rPr>
          <w:rFonts w:asciiTheme="minorHAnsi" w:eastAsiaTheme="minorEastAsia" w:hAnsiTheme="minorHAnsi" w:cstheme="minorBidi"/>
          <w:noProof/>
          <w:kern w:val="0"/>
          <w:szCs w:val="22"/>
          <w:lang w:eastAsia="en-AU"/>
        </w:rPr>
      </w:pPr>
      <w:r>
        <w:rPr>
          <w:noProof/>
        </w:rPr>
        <w:t>Statement of financial position</w:t>
      </w:r>
      <w:r>
        <w:rPr>
          <w:noProof/>
        </w:rPr>
        <w:tab/>
      </w:r>
      <w:r>
        <w:rPr>
          <w:noProof/>
        </w:rPr>
        <w:fldChar w:fldCharType="begin"/>
      </w:r>
      <w:r>
        <w:rPr>
          <w:noProof/>
        </w:rPr>
        <w:instrText xml:space="preserve"> PAGEREF _Toc523402642 \h </w:instrText>
      </w:r>
      <w:r>
        <w:rPr>
          <w:noProof/>
        </w:rPr>
      </w:r>
      <w:r>
        <w:rPr>
          <w:noProof/>
        </w:rPr>
        <w:fldChar w:fldCharType="separate"/>
      </w:r>
      <w:r w:rsidR="00F5629C">
        <w:rPr>
          <w:noProof/>
        </w:rPr>
        <w:t>37</w:t>
      </w:r>
      <w:r>
        <w:rPr>
          <w:noProof/>
        </w:rPr>
        <w:fldChar w:fldCharType="end"/>
      </w:r>
    </w:p>
    <w:p w14:paraId="36DBB90D" w14:textId="56BFAEAD" w:rsidR="009D6B00" w:rsidRDefault="009D6B00">
      <w:pPr>
        <w:pStyle w:val="TOC2"/>
        <w:rPr>
          <w:rFonts w:asciiTheme="minorHAnsi" w:eastAsiaTheme="minorEastAsia" w:hAnsiTheme="minorHAnsi" w:cstheme="minorBidi"/>
          <w:noProof/>
          <w:kern w:val="0"/>
          <w:szCs w:val="22"/>
          <w:lang w:eastAsia="en-AU"/>
        </w:rPr>
      </w:pPr>
      <w:r>
        <w:rPr>
          <w:noProof/>
        </w:rPr>
        <w:t>Statement of changes in equity</w:t>
      </w:r>
      <w:r>
        <w:rPr>
          <w:noProof/>
        </w:rPr>
        <w:tab/>
      </w:r>
      <w:r>
        <w:rPr>
          <w:noProof/>
        </w:rPr>
        <w:fldChar w:fldCharType="begin"/>
      </w:r>
      <w:r>
        <w:rPr>
          <w:noProof/>
        </w:rPr>
        <w:instrText xml:space="preserve"> PAGEREF _Toc523402643 \h </w:instrText>
      </w:r>
      <w:r>
        <w:rPr>
          <w:noProof/>
        </w:rPr>
      </w:r>
      <w:r>
        <w:rPr>
          <w:noProof/>
        </w:rPr>
        <w:fldChar w:fldCharType="separate"/>
      </w:r>
      <w:r w:rsidR="00F5629C">
        <w:rPr>
          <w:noProof/>
        </w:rPr>
        <w:t>38</w:t>
      </w:r>
      <w:r>
        <w:rPr>
          <w:noProof/>
        </w:rPr>
        <w:fldChar w:fldCharType="end"/>
      </w:r>
    </w:p>
    <w:p w14:paraId="265703F6" w14:textId="2AF2E4FC" w:rsidR="009D6B00" w:rsidRDefault="009D6B00">
      <w:pPr>
        <w:pStyle w:val="TOC2"/>
        <w:rPr>
          <w:rFonts w:asciiTheme="minorHAnsi" w:eastAsiaTheme="minorEastAsia" w:hAnsiTheme="minorHAnsi" w:cstheme="minorBidi"/>
          <w:noProof/>
          <w:kern w:val="0"/>
          <w:szCs w:val="22"/>
          <w:lang w:eastAsia="en-AU"/>
        </w:rPr>
      </w:pPr>
      <w:r>
        <w:rPr>
          <w:noProof/>
        </w:rPr>
        <w:t>Statement of cash flows</w:t>
      </w:r>
      <w:r>
        <w:rPr>
          <w:noProof/>
        </w:rPr>
        <w:tab/>
      </w:r>
      <w:r>
        <w:rPr>
          <w:noProof/>
        </w:rPr>
        <w:fldChar w:fldCharType="begin"/>
      </w:r>
      <w:r>
        <w:rPr>
          <w:noProof/>
        </w:rPr>
        <w:instrText xml:space="preserve"> PAGEREF _Toc523402644 \h </w:instrText>
      </w:r>
      <w:r>
        <w:rPr>
          <w:noProof/>
        </w:rPr>
      </w:r>
      <w:r>
        <w:rPr>
          <w:noProof/>
        </w:rPr>
        <w:fldChar w:fldCharType="separate"/>
      </w:r>
      <w:r w:rsidR="00F5629C">
        <w:rPr>
          <w:noProof/>
        </w:rPr>
        <w:t>39</w:t>
      </w:r>
      <w:r>
        <w:rPr>
          <w:noProof/>
        </w:rPr>
        <w:fldChar w:fldCharType="end"/>
      </w:r>
    </w:p>
    <w:p w14:paraId="733FBED8" w14:textId="21B9CF7B" w:rsidR="009D6B00" w:rsidRDefault="009D6B00">
      <w:pPr>
        <w:pStyle w:val="TOC2"/>
        <w:rPr>
          <w:rFonts w:asciiTheme="minorHAnsi" w:eastAsiaTheme="minorEastAsia" w:hAnsiTheme="minorHAnsi" w:cstheme="minorBidi"/>
          <w:noProof/>
          <w:kern w:val="0"/>
          <w:szCs w:val="22"/>
          <w:lang w:eastAsia="en-AU"/>
        </w:rPr>
      </w:pPr>
      <w:r>
        <w:rPr>
          <w:noProof/>
        </w:rPr>
        <w:t>Notes to and forming part of the financial statements 2017-18</w:t>
      </w:r>
      <w:r>
        <w:rPr>
          <w:noProof/>
        </w:rPr>
        <w:tab/>
      </w:r>
      <w:r>
        <w:rPr>
          <w:noProof/>
        </w:rPr>
        <w:fldChar w:fldCharType="begin"/>
      </w:r>
      <w:r>
        <w:rPr>
          <w:noProof/>
        </w:rPr>
        <w:instrText xml:space="preserve"> PAGEREF _Toc523402645 \h </w:instrText>
      </w:r>
      <w:r>
        <w:rPr>
          <w:noProof/>
        </w:rPr>
      </w:r>
      <w:r>
        <w:rPr>
          <w:noProof/>
        </w:rPr>
        <w:fldChar w:fldCharType="separate"/>
      </w:r>
      <w:r w:rsidR="00F5629C">
        <w:rPr>
          <w:noProof/>
        </w:rPr>
        <w:t>40</w:t>
      </w:r>
      <w:r>
        <w:rPr>
          <w:noProof/>
        </w:rPr>
        <w:fldChar w:fldCharType="end"/>
      </w:r>
    </w:p>
    <w:p w14:paraId="6F89536F" w14:textId="331E3E47" w:rsidR="009D6B00" w:rsidRDefault="009D6B00">
      <w:pPr>
        <w:pStyle w:val="TOC2"/>
        <w:rPr>
          <w:rFonts w:asciiTheme="minorHAnsi" w:eastAsiaTheme="minorEastAsia" w:hAnsiTheme="minorHAnsi" w:cstheme="minorBidi"/>
          <w:noProof/>
          <w:kern w:val="0"/>
          <w:szCs w:val="22"/>
          <w:lang w:eastAsia="en-AU"/>
        </w:rPr>
      </w:pPr>
      <w:r>
        <w:rPr>
          <w:noProof/>
        </w:rPr>
        <w:t>Management certificate</w:t>
      </w:r>
      <w:r>
        <w:rPr>
          <w:noProof/>
        </w:rPr>
        <w:tab/>
      </w:r>
      <w:r>
        <w:rPr>
          <w:noProof/>
        </w:rPr>
        <w:fldChar w:fldCharType="begin"/>
      </w:r>
      <w:r>
        <w:rPr>
          <w:noProof/>
        </w:rPr>
        <w:instrText xml:space="preserve"> PAGEREF _Toc523402646 \h </w:instrText>
      </w:r>
      <w:r>
        <w:rPr>
          <w:noProof/>
        </w:rPr>
      </w:r>
      <w:r>
        <w:rPr>
          <w:noProof/>
        </w:rPr>
        <w:fldChar w:fldCharType="separate"/>
      </w:r>
      <w:r w:rsidR="00F5629C">
        <w:rPr>
          <w:noProof/>
        </w:rPr>
        <w:t>51</w:t>
      </w:r>
      <w:r>
        <w:rPr>
          <w:noProof/>
        </w:rPr>
        <w:fldChar w:fldCharType="end"/>
      </w:r>
    </w:p>
    <w:p w14:paraId="0252C9FB" w14:textId="24509719" w:rsidR="009D6B00" w:rsidRDefault="009D6B00">
      <w:pPr>
        <w:pStyle w:val="TOC2"/>
        <w:rPr>
          <w:rFonts w:asciiTheme="minorHAnsi" w:eastAsiaTheme="minorEastAsia" w:hAnsiTheme="minorHAnsi" w:cstheme="minorBidi"/>
          <w:noProof/>
          <w:kern w:val="0"/>
          <w:szCs w:val="22"/>
          <w:lang w:eastAsia="en-AU"/>
        </w:rPr>
      </w:pPr>
      <w:r>
        <w:rPr>
          <w:noProof/>
        </w:rPr>
        <w:t>Independent Auditor’s report</w:t>
      </w:r>
      <w:r>
        <w:rPr>
          <w:noProof/>
        </w:rPr>
        <w:tab/>
      </w:r>
      <w:r>
        <w:rPr>
          <w:noProof/>
        </w:rPr>
        <w:fldChar w:fldCharType="begin"/>
      </w:r>
      <w:r>
        <w:rPr>
          <w:noProof/>
        </w:rPr>
        <w:instrText xml:space="preserve"> PAGEREF _Toc523402647 \h </w:instrText>
      </w:r>
      <w:r>
        <w:rPr>
          <w:noProof/>
        </w:rPr>
      </w:r>
      <w:r>
        <w:rPr>
          <w:noProof/>
        </w:rPr>
        <w:fldChar w:fldCharType="separate"/>
      </w:r>
      <w:r w:rsidR="00F5629C">
        <w:rPr>
          <w:noProof/>
        </w:rPr>
        <w:t>52</w:t>
      </w:r>
      <w:r>
        <w:rPr>
          <w:noProof/>
        </w:rPr>
        <w:fldChar w:fldCharType="end"/>
      </w:r>
    </w:p>
    <w:p w14:paraId="3D1B5104" w14:textId="77777777" w:rsidR="00F13098" w:rsidRDefault="00DB4064">
      <w:pPr>
        <w:rPr>
          <w:rFonts w:eastAsia="Cambria"/>
        </w:rPr>
      </w:pPr>
      <w:r>
        <w:rPr>
          <w:rFonts w:eastAsia="Cambria"/>
        </w:rPr>
        <w:fldChar w:fldCharType="end"/>
      </w:r>
      <w:r w:rsidR="00F13098">
        <w:rPr>
          <w:rFonts w:eastAsia="Cambria"/>
        </w:rPr>
        <w:br w:type="page"/>
      </w:r>
    </w:p>
    <w:p w14:paraId="5BFFCE16" w14:textId="77777777" w:rsidR="00EF4B86" w:rsidRPr="009E196D" w:rsidRDefault="00EF4B86" w:rsidP="009D6B00">
      <w:pPr>
        <w:pStyle w:val="Heading2"/>
      </w:pPr>
      <w:bookmarkStart w:id="101" w:name="_Toc523402641"/>
      <w:bookmarkStart w:id="102" w:name="_Toc524519421"/>
      <w:bookmarkStart w:id="103" w:name="_Toc462294310"/>
      <w:bookmarkStart w:id="104" w:name="Financials"/>
      <w:bookmarkEnd w:id="97"/>
      <w:r>
        <w:lastRenderedPageBreak/>
        <w:t>Statement of comprehensive income</w:t>
      </w:r>
      <w:bookmarkEnd w:id="101"/>
      <w:bookmarkEnd w:id="102"/>
    </w:p>
    <w:p w14:paraId="7F920558" w14:textId="77777777" w:rsidR="00DB0463" w:rsidRDefault="00F03BD1">
      <w:pPr>
        <w:rPr>
          <w:rFonts w:ascii="Arial Bold" w:eastAsia="Times New Roman" w:hAnsi="Arial Bold"/>
          <w:b/>
          <w:i/>
          <w:color w:val="AB054C"/>
          <w:sz w:val="36"/>
          <w14:ligatures w14:val="standardContextual"/>
        </w:rPr>
      </w:pPr>
      <w:r>
        <w:rPr>
          <w:noProof/>
          <w:lang w:eastAsia="en-AU"/>
        </w:rPr>
        <w:drawing>
          <wp:inline distT="0" distB="0" distL="0" distR="0" wp14:anchorId="0786450E" wp14:editId="4513E7C0">
            <wp:extent cx="6405633" cy="424668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4">
                      <a:extLst>
                        <a:ext uri="{28A0092B-C50C-407E-A947-70E740481C1C}">
                          <a14:useLocalDpi xmlns:a14="http://schemas.microsoft.com/office/drawing/2010/main" val="0"/>
                        </a:ext>
                      </a:extLst>
                    </a:blip>
                    <a:srcRect b="53115"/>
                    <a:stretch/>
                  </pic:blipFill>
                  <pic:spPr bwMode="auto">
                    <a:xfrm>
                      <a:off x="0" y="0"/>
                      <a:ext cx="6415811" cy="4253433"/>
                    </a:xfrm>
                    <a:prstGeom prst="rect">
                      <a:avLst/>
                    </a:prstGeom>
                    <a:noFill/>
                    <a:ln>
                      <a:noFill/>
                    </a:ln>
                    <a:extLst>
                      <a:ext uri="{53640926-AAD7-44D8-BBD7-CCE9431645EC}">
                        <a14:shadowObscured xmlns:a14="http://schemas.microsoft.com/office/drawing/2010/main"/>
                      </a:ext>
                    </a:extLst>
                  </pic:spPr>
                </pic:pic>
              </a:graphicData>
            </a:graphic>
          </wp:inline>
        </w:drawing>
      </w:r>
      <w:r w:rsidR="00DB0463">
        <w:br w:type="page"/>
      </w:r>
    </w:p>
    <w:p w14:paraId="1FE3FBA1" w14:textId="77777777" w:rsidR="00EF4B86" w:rsidRPr="009E196D" w:rsidRDefault="00EF4B86" w:rsidP="009D6B00">
      <w:pPr>
        <w:pStyle w:val="Heading2"/>
      </w:pPr>
      <w:bookmarkStart w:id="105" w:name="_Toc523402642"/>
      <w:bookmarkStart w:id="106" w:name="_Toc524519422"/>
      <w:bookmarkEnd w:id="103"/>
      <w:r>
        <w:lastRenderedPageBreak/>
        <w:t>Statement of financial position</w:t>
      </w:r>
      <w:bookmarkEnd w:id="105"/>
      <w:bookmarkEnd w:id="106"/>
      <w:r>
        <w:t xml:space="preserve"> </w:t>
      </w:r>
    </w:p>
    <w:p w14:paraId="0839104E" w14:textId="77777777" w:rsidR="007621B8" w:rsidRPr="00341581" w:rsidRDefault="0090189F" w:rsidP="00C6033F">
      <w:pPr>
        <w:spacing w:before="0"/>
        <w:rPr>
          <w:b/>
          <w:i/>
          <w:caps/>
          <w:sz w:val="32"/>
        </w:rPr>
      </w:pPr>
      <w:r>
        <w:rPr>
          <w:noProof/>
          <w:lang w:eastAsia="en-AU"/>
        </w:rPr>
        <w:drawing>
          <wp:inline distT="0" distB="0" distL="0" distR="0" wp14:anchorId="27AE9D66" wp14:editId="70D91410">
            <wp:extent cx="6207369" cy="5625906"/>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a:extLst>
                        <a:ext uri="{28A0092B-C50C-407E-A947-70E740481C1C}">
                          <a14:useLocalDpi xmlns:a14="http://schemas.microsoft.com/office/drawing/2010/main" val="0"/>
                        </a:ext>
                      </a:extLst>
                    </a:blip>
                    <a:srcRect r="2122" b="37264"/>
                    <a:stretch/>
                  </pic:blipFill>
                  <pic:spPr bwMode="auto">
                    <a:xfrm>
                      <a:off x="0" y="0"/>
                      <a:ext cx="6213684" cy="5631629"/>
                    </a:xfrm>
                    <a:prstGeom prst="rect">
                      <a:avLst/>
                    </a:prstGeom>
                    <a:noFill/>
                    <a:ln>
                      <a:noFill/>
                    </a:ln>
                    <a:extLst>
                      <a:ext uri="{53640926-AAD7-44D8-BBD7-CCE9431645EC}">
                        <a14:shadowObscured xmlns:a14="http://schemas.microsoft.com/office/drawing/2010/main"/>
                      </a:ext>
                    </a:extLst>
                  </pic:spPr>
                </pic:pic>
              </a:graphicData>
            </a:graphic>
          </wp:inline>
        </w:drawing>
      </w:r>
      <w:r w:rsidR="007621B8" w:rsidRPr="00341581">
        <w:br w:type="page"/>
      </w:r>
    </w:p>
    <w:p w14:paraId="10333863" w14:textId="77777777" w:rsidR="00FD05CF" w:rsidRPr="009E196D" w:rsidRDefault="00FD05CF" w:rsidP="009D6B00">
      <w:pPr>
        <w:pStyle w:val="Heading2"/>
      </w:pPr>
      <w:bookmarkStart w:id="107" w:name="_Toc523402643"/>
      <w:bookmarkStart w:id="108" w:name="_Toc524519423"/>
      <w:r>
        <w:lastRenderedPageBreak/>
        <w:t>Statement of changes in equity</w:t>
      </w:r>
      <w:bookmarkEnd w:id="107"/>
      <w:bookmarkEnd w:id="108"/>
    </w:p>
    <w:p w14:paraId="1806DC59" w14:textId="77777777" w:rsidR="00DC5ADF" w:rsidRDefault="00DC5ADF" w:rsidP="00C6033F">
      <w:pPr>
        <w:spacing w:before="0"/>
        <w:rPr>
          <w:highlight w:val="yellow"/>
        </w:rPr>
      </w:pPr>
    </w:p>
    <w:p w14:paraId="5A400684" w14:textId="77777777" w:rsidR="00DB0463" w:rsidRDefault="0090189F">
      <w:pPr>
        <w:rPr>
          <w:rFonts w:ascii="Arial Bold" w:eastAsia="Times New Roman" w:hAnsi="Arial Bold"/>
          <w:b/>
          <w:i/>
          <w:color w:val="AB054C"/>
          <w:sz w:val="36"/>
          <w14:ligatures w14:val="standardContextual"/>
        </w:rPr>
      </w:pPr>
      <w:bookmarkStart w:id="109" w:name="_Toc462294312"/>
      <w:r>
        <w:rPr>
          <w:noProof/>
          <w:lang w:eastAsia="en-AU"/>
        </w:rPr>
        <w:drawing>
          <wp:inline distT="0" distB="0" distL="0" distR="0" wp14:anchorId="52E3AAFD" wp14:editId="03238B73">
            <wp:extent cx="6269884" cy="3288323"/>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6">
                      <a:extLst>
                        <a:ext uri="{28A0092B-C50C-407E-A947-70E740481C1C}">
                          <a14:useLocalDpi xmlns:a14="http://schemas.microsoft.com/office/drawing/2010/main" val="0"/>
                        </a:ext>
                      </a:extLst>
                    </a:blip>
                    <a:srcRect b="62910"/>
                    <a:stretch/>
                  </pic:blipFill>
                  <pic:spPr bwMode="auto">
                    <a:xfrm>
                      <a:off x="0" y="0"/>
                      <a:ext cx="6283997" cy="3295725"/>
                    </a:xfrm>
                    <a:prstGeom prst="rect">
                      <a:avLst/>
                    </a:prstGeom>
                    <a:noFill/>
                    <a:ln>
                      <a:noFill/>
                    </a:ln>
                    <a:extLst>
                      <a:ext uri="{53640926-AAD7-44D8-BBD7-CCE9431645EC}">
                        <a14:shadowObscured xmlns:a14="http://schemas.microsoft.com/office/drawing/2010/main"/>
                      </a:ext>
                    </a:extLst>
                  </pic:spPr>
                </pic:pic>
              </a:graphicData>
            </a:graphic>
          </wp:inline>
        </w:drawing>
      </w:r>
      <w:r w:rsidR="00DB0463">
        <w:br w:type="page"/>
      </w:r>
    </w:p>
    <w:p w14:paraId="6546DB08" w14:textId="77777777" w:rsidR="00FD05CF" w:rsidRPr="009E196D" w:rsidRDefault="00FD05CF" w:rsidP="009D6B00">
      <w:pPr>
        <w:pStyle w:val="Heading2"/>
      </w:pPr>
      <w:bookmarkStart w:id="110" w:name="_Toc523402644"/>
      <w:bookmarkStart w:id="111" w:name="_Toc524519424"/>
      <w:bookmarkEnd w:id="109"/>
      <w:r>
        <w:lastRenderedPageBreak/>
        <w:t>Statement of cash flows</w:t>
      </w:r>
      <w:bookmarkEnd w:id="110"/>
      <w:bookmarkEnd w:id="111"/>
    </w:p>
    <w:p w14:paraId="6A4D9D04" w14:textId="77777777" w:rsidR="00DC5ADF" w:rsidRPr="00DC5ADF" w:rsidRDefault="001B69B3" w:rsidP="00C6033F">
      <w:pPr>
        <w:spacing w:before="0"/>
      </w:pPr>
      <w:r>
        <w:rPr>
          <w:noProof/>
          <w:lang w:eastAsia="en-AU"/>
        </w:rPr>
        <w:drawing>
          <wp:inline distT="0" distB="0" distL="0" distR="0" wp14:anchorId="05A95E99" wp14:editId="4D9EC051">
            <wp:extent cx="5978769" cy="7508240"/>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7">
                      <a:extLst>
                        <a:ext uri="{28A0092B-C50C-407E-A947-70E740481C1C}">
                          <a14:useLocalDpi xmlns:a14="http://schemas.microsoft.com/office/drawing/2010/main" val="0"/>
                        </a:ext>
                      </a:extLst>
                    </a:blip>
                    <a:srcRect r="7096" b="17489"/>
                    <a:stretch/>
                  </pic:blipFill>
                  <pic:spPr bwMode="auto">
                    <a:xfrm>
                      <a:off x="0" y="0"/>
                      <a:ext cx="5979080" cy="7508631"/>
                    </a:xfrm>
                    <a:prstGeom prst="rect">
                      <a:avLst/>
                    </a:prstGeom>
                    <a:noFill/>
                    <a:ln>
                      <a:noFill/>
                    </a:ln>
                    <a:extLst>
                      <a:ext uri="{53640926-AAD7-44D8-BBD7-CCE9431645EC}">
                        <a14:shadowObscured xmlns:a14="http://schemas.microsoft.com/office/drawing/2010/main"/>
                      </a:ext>
                    </a:extLst>
                  </pic:spPr>
                </pic:pic>
              </a:graphicData>
            </a:graphic>
          </wp:inline>
        </w:drawing>
      </w:r>
      <w:r w:rsidR="00DC5ADF" w:rsidRPr="00DC5ADF">
        <w:br w:type="page"/>
      </w:r>
    </w:p>
    <w:p w14:paraId="3E8D9DDC" w14:textId="77777777" w:rsidR="00FD05CF" w:rsidRPr="009E196D" w:rsidRDefault="00FD05CF" w:rsidP="009D6B00">
      <w:pPr>
        <w:pStyle w:val="Heading2"/>
      </w:pPr>
      <w:bookmarkStart w:id="112" w:name="_Toc523402645"/>
      <w:bookmarkStart w:id="113" w:name="_Toc524519425"/>
      <w:r>
        <w:lastRenderedPageBreak/>
        <w:t>Notes to and forming part of the financial statements 2017-18</w:t>
      </w:r>
      <w:bookmarkEnd w:id="112"/>
      <w:bookmarkEnd w:id="113"/>
      <w:r>
        <w:t xml:space="preserve"> </w:t>
      </w:r>
    </w:p>
    <w:p w14:paraId="59EDE0FB" w14:textId="77777777" w:rsidR="007C58C3" w:rsidRDefault="007C58C3" w:rsidP="00FD05CF">
      <w:pPr>
        <w:spacing w:before="0"/>
      </w:pPr>
      <w:r>
        <w:rPr>
          <w:noProof/>
          <w:lang w:eastAsia="en-AU"/>
        </w:rPr>
        <w:drawing>
          <wp:inline distT="0" distB="0" distL="0" distR="0" wp14:anchorId="5E44BEC1" wp14:editId="0E56CCC8">
            <wp:extent cx="6567561" cy="5434754"/>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a:extLst>
                        <a:ext uri="{28A0092B-C50C-407E-A947-70E740481C1C}">
                          <a14:useLocalDpi xmlns:a14="http://schemas.microsoft.com/office/drawing/2010/main" val="0"/>
                        </a:ext>
                      </a:extLst>
                    </a:blip>
                    <a:srcRect l="3417" t="5122" r="7100" b="42510"/>
                    <a:stretch/>
                  </pic:blipFill>
                  <pic:spPr bwMode="auto">
                    <a:xfrm>
                      <a:off x="0" y="0"/>
                      <a:ext cx="6573251" cy="5439462"/>
                    </a:xfrm>
                    <a:prstGeom prst="rect">
                      <a:avLst/>
                    </a:prstGeom>
                    <a:noFill/>
                    <a:ln>
                      <a:noFill/>
                    </a:ln>
                    <a:extLst>
                      <a:ext uri="{53640926-AAD7-44D8-BBD7-CCE9431645EC}">
                        <a14:shadowObscured xmlns:a14="http://schemas.microsoft.com/office/drawing/2010/main"/>
                      </a:ext>
                    </a:extLst>
                  </pic:spPr>
                </pic:pic>
              </a:graphicData>
            </a:graphic>
          </wp:inline>
        </w:drawing>
      </w:r>
    </w:p>
    <w:p w14:paraId="15DCD1C8" w14:textId="77777777" w:rsidR="007A755D" w:rsidRDefault="007A755D" w:rsidP="00FD05CF">
      <w:pPr>
        <w:spacing w:before="0"/>
      </w:pPr>
    </w:p>
    <w:p w14:paraId="53689BE7" w14:textId="77777777" w:rsidR="007A755D" w:rsidRDefault="007A755D" w:rsidP="00FD05CF">
      <w:pPr>
        <w:spacing w:before="0"/>
      </w:pPr>
    </w:p>
    <w:p w14:paraId="6F31DA3C" w14:textId="77777777" w:rsidR="007A755D" w:rsidRDefault="007A755D" w:rsidP="00FD05CF">
      <w:pPr>
        <w:spacing w:before="0"/>
      </w:pPr>
    </w:p>
    <w:p w14:paraId="668E3086" w14:textId="77777777" w:rsidR="007A755D" w:rsidRDefault="007A755D" w:rsidP="007A755D">
      <w:pPr>
        <w:tabs>
          <w:tab w:val="left" w:pos="6923"/>
        </w:tabs>
        <w:spacing w:before="0"/>
      </w:pPr>
      <w:r>
        <w:tab/>
      </w:r>
    </w:p>
    <w:p w14:paraId="77E860EA" w14:textId="77777777" w:rsidR="007A755D" w:rsidRDefault="007A755D" w:rsidP="007A755D">
      <w:pPr>
        <w:tabs>
          <w:tab w:val="left" w:pos="6923"/>
        </w:tabs>
        <w:spacing w:before="0"/>
      </w:pPr>
    </w:p>
    <w:p w14:paraId="28DAE1DA" w14:textId="77777777" w:rsidR="007A755D" w:rsidRDefault="007A755D" w:rsidP="007A755D">
      <w:pPr>
        <w:tabs>
          <w:tab w:val="left" w:pos="6923"/>
        </w:tabs>
        <w:spacing w:before="0"/>
      </w:pPr>
    </w:p>
    <w:p w14:paraId="701730F3" w14:textId="77777777" w:rsidR="007A755D" w:rsidRDefault="007A755D" w:rsidP="007A755D">
      <w:pPr>
        <w:tabs>
          <w:tab w:val="left" w:pos="6923"/>
        </w:tabs>
        <w:spacing w:before="0"/>
      </w:pPr>
    </w:p>
    <w:p w14:paraId="44BDC26D" w14:textId="77777777" w:rsidR="007A755D" w:rsidRDefault="007A755D" w:rsidP="007A755D">
      <w:pPr>
        <w:tabs>
          <w:tab w:val="left" w:pos="6923"/>
        </w:tabs>
        <w:spacing w:before="0"/>
      </w:pPr>
    </w:p>
    <w:p w14:paraId="3ED8BC05" w14:textId="77777777" w:rsidR="007A755D" w:rsidRDefault="007A755D" w:rsidP="007A755D">
      <w:pPr>
        <w:tabs>
          <w:tab w:val="left" w:pos="6923"/>
        </w:tabs>
        <w:spacing w:before="0"/>
      </w:pPr>
    </w:p>
    <w:p w14:paraId="1BB1DF4A" w14:textId="77777777" w:rsidR="007A755D" w:rsidRDefault="007A755D" w:rsidP="007A755D">
      <w:pPr>
        <w:tabs>
          <w:tab w:val="left" w:pos="6923"/>
        </w:tabs>
        <w:spacing w:before="0"/>
      </w:pPr>
    </w:p>
    <w:p w14:paraId="11CFDAB3" w14:textId="648ED431" w:rsidR="00BB0FA5" w:rsidRDefault="00BB0FA5">
      <w:r>
        <w:br w:type="page"/>
      </w:r>
    </w:p>
    <w:p w14:paraId="6E05BD12" w14:textId="77777777" w:rsidR="007A755D" w:rsidRPr="007A755D" w:rsidRDefault="007A755D" w:rsidP="007A755D">
      <w:pPr>
        <w:spacing w:before="0" w:after="0"/>
        <w:rPr>
          <w:rFonts w:ascii="Arial Bold" w:eastAsia="Times New Roman" w:hAnsi="Arial Bold"/>
          <w:b/>
          <w:bCs/>
          <w:color w:val="AB054C"/>
          <w:sz w:val="36"/>
          <w14:ligatures w14:val="standardContextual"/>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p>
    <w:p w14:paraId="5BF39A6F" w14:textId="25B44497" w:rsidR="00BB0FA5" w:rsidRDefault="007808E2" w:rsidP="007808E2">
      <w:pPr>
        <w:tabs>
          <w:tab w:val="left" w:pos="942"/>
        </w:tabs>
        <w:spacing w:before="0"/>
      </w:pPr>
      <w:r>
        <w:tab/>
      </w:r>
      <w:r w:rsidR="007C58C3">
        <w:rPr>
          <w:noProof/>
          <w:lang w:eastAsia="en-AU"/>
        </w:rPr>
        <w:drawing>
          <wp:inline distT="0" distB="0" distL="0" distR="0" wp14:anchorId="32FABFE4" wp14:editId="58A06040">
            <wp:extent cx="6161859" cy="705575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9">
                      <a:extLst>
                        <a:ext uri="{28A0092B-C50C-407E-A947-70E740481C1C}">
                          <a14:useLocalDpi xmlns:a14="http://schemas.microsoft.com/office/drawing/2010/main" val="0"/>
                        </a:ext>
                      </a:extLst>
                    </a:blip>
                    <a:srcRect l="5192" t="5023" r="7236" b="24060"/>
                    <a:stretch/>
                  </pic:blipFill>
                  <pic:spPr bwMode="auto">
                    <a:xfrm>
                      <a:off x="0" y="0"/>
                      <a:ext cx="6162797" cy="7056825"/>
                    </a:xfrm>
                    <a:prstGeom prst="rect">
                      <a:avLst/>
                    </a:prstGeom>
                    <a:noFill/>
                    <a:ln>
                      <a:noFill/>
                    </a:ln>
                    <a:extLst>
                      <a:ext uri="{53640926-AAD7-44D8-BBD7-CCE9431645EC}">
                        <a14:shadowObscured xmlns:a14="http://schemas.microsoft.com/office/drawing/2010/main"/>
                      </a:ext>
                    </a:extLst>
                  </pic:spPr>
                </pic:pic>
              </a:graphicData>
            </a:graphic>
          </wp:inline>
        </w:drawing>
      </w:r>
    </w:p>
    <w:p w14:paraId="0FB82256" w14:textId="77777777" w:rsidR="00BB0FA5" w:rsidRDefault="00BB0FA5">
      <w:r>
        <w:br w:type="page"/>
      </w:r>
    </w:p>
    <w:p w14:paraId="2B787249" w14:textId="77777777" w:rsidR="007808E2" w:rsidRPr="007A755D" w:rsidRDefault="007808E2" w:rsidP="007808E2">
      <w:pPr>
        <w:spacing w:before="0" w:after="0"/>
        <w:rPr>
          <w:rFonts w:ascii="Arial Bold" w:eastAsia="Times New Roman" w:hAnsi="Arial Bold"/>
          <w:b/>
          <w:bCs/>
          <w:color w:val="AB054C"/>
          <w:sz w:val="36"/>
          <w14:ligatures w14:val="standardContextual"/>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p>
    <w:p w14:paraId="46C52BD1" w14:textId="745A7BB1" w:rsidR="00BB0FA5" w:rsidRDefault="00507826" w:rsidP="004700EE">
      <w:pPr>
        <w:spacing w:before="0" w:after="0" w:line="360" w:lineRule="auto"/>
        <w:rPr>
          <w:rFonts w:ascii="Arial Bold" w:hAnsi="Arial Bold"/>
          <w:b/>
          <w:i/>
          <w:color w:val="AB054C"/>
          <w:sz w:val="36"/>
          <w:szCs w:val="36"/>
        </w:rPr>
      </w:pPr>
      <w:r>
        <w:rPr>
          <w:rFonts w:ascii="Arial Bold" w:hAnsi="Arial Bold"/>
          <w:b/>
          <w:i/>
          <w:noProof/>
          <w:color w:val="AB054C"/>
          <w:sz w:val="36"/>
          <w:szCs w:val="36"/>
          <w:lang w:eastAsia="en-AU"/>
        </w:rPr>
        <w:drawing>
          <wp:inline distT="0" distB="0" distL="0" distR="0" wp14:anchorId="1B994999" wp14:editId="62A93DF5">
            <wp:extent cx="5433646" cy="7729761"/>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0">
                      <a:extLst>
                        <a:ext uri="{28A0092B-C50C-407E-A947-70E740481C1C}">
                          <a14:useLocalDpi xmlns:a14="http://schemas.microsoft.com/office/drawing/2010/main" val="0"/>
                        </a:ext>
                      </a:extLst>
                    </a:blip>
                    <a:srcRect l="5055" t="5990" r="12138" b="10701"/>
                    <a:stretch/>
                  </pic:blipFill>
                  <pic:spPr bwMode="auto">
                    <a:xfrm>
                      <a:off x="0" y="0"/>
                      <a:ext cx="5437771" cy="7735630"/>
                    </a:xfrm>
                    <a:prstGeom prst="rect">
                      <a:avLst/>
                    </a:prstGeom>
                    <a:noFill/>
                    <a:ln>
                      <a:noFill/>
                    </a:ln>
                    <a:extLst>
                      <a:ext uri="{53640926-AAD7-44D8-BBD7-CCE9431645EC}">
                        <a14:shadowObscured xmlns:a14="http://schemas.microsoft.com/office/drawing/2010/main"/>
                      </a:ext>
                    </a:extLst>
                  </pic:spPr>
                </pic:pic>
              </a:graphicData>
            </a:graphic>
          </wp:inline>
        </w:drawing>
      </w:r>
    </w:p>
    <w:p w14:paraId="4E4835BA" w14:textId="77777777" w:rsidR="00BB0FA5" w:rsidRDefault="00BB0FA5">
      <w:pPr>
        <w:rPr>
          <w:rFonts w:ascii="Arial Bold" w:hAnsi="Arial Bold"/>
          <w:b/>
          <w:i/>
          <w:color w:val="AB054C"/>
          <w:sz w:val="36"/>
          <w:szCs w:val="36"/>
        </w:rPr>
      </w:pPr>
      <w:r>
        <w:rPr>
          <w:rFonts w:ascii="Arial Bold" w:hAnsi="Arial Bold"/>
          <w:b/>
          <w:i/>
          <w:color w:val="AB054C"/>
          <w:sz w:val="36"/>
          <w:szCs w:val="36"/>
        </w:rPr>
        <w:br w:type="page"/>
      </w:r>
    </w:p>
    <w:p w14:paraId="152ECDD7" w14:textId="77777777" w:rsidR="002B65E6" w:rsidRPr="007A755D" w:rsidRDefault="002B65E6" w:rsidP="002B65E6">
      <w:pPr>
        <w:spacing w:before="0" w:after="0"/>
        <w:rPr>
          <w:rFonts w:ascii="Arial Bold" w:eastAsia="Times New Roman" w:hAnsi="Arial Bold"/>
          <w:b/>
          <w:bCs/>
          <w:color w:val="AB054C"/>
          <w:sz w:val="36"/>
          <w14:ligatures w14:val="standardContextual"/>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p>
    <w:p w14:paraId="3F9B6D93" w14:textId="77777777" w:rsidR="00507826" w:rsidRDefault="00507826" w:rsidP="004700EE">
      <w:pPr>
        <w:spacing w:before="0" w:after="0" w:line="360" w:lineRule="auto"/>
        <w:rPr>
          <w:rFonts w:ascii="Arial Bold" w:hAnsi="Arial Bold"/>
          <w:b/>
          <w:i/>
          <w:color w:val="AB054C"/>
          <w:sz w:val="36"/>
          <w:szCs w:val="36"/>
        </w:rPr>
      </w:pPr>
      <w:r>
        <w:rPr>
          <w:rFonts w:ascii="Arial Bold" w:hAnsi="Arial Bold"/>
          <w:b/>
          <w:i/>
          <w:noProof/>
          <w:color w:val="AB054C"/>
          <w:sz w:val="36"/>
          <w:szCs w:val="36"/>
          <w:lang w:eastAsia="en-AU"/>
        </w:rPr>
        <w:drawing>
          <wp:inline distT="0" distB="0" distL="0" distR="0" wp14:anchorId="11BAD5DF" wp14:editId="47AB74C6">
            <wp:extent cx="6216162" cy="7596395"/>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1">
                      <a:extLst>
                        <a:ext uri="{28A0092B-C50C-407E-A947-70E740481C1C}">
                          <a14:useLocalDpi xmlns:a14="http://schemas.microsoft.com/office/drawing/2010/main" val="0"/>
                        </a:ext>
                      </a:extLst>
                    </a:blip>
                    <a:srcRect l="6421" t="6474" r="7373" b="19024"/>
                    <a:stretch/>
                  </pic:blipFill>
                  <pic:spPr bwMode="auto">
                    <a:xfrm>
                      <a:off x="0" y="0"/>
                      <a:ext cx="6218984" cy="7599843"/>
                    </a:xfrm>
                    <a:prstGeom prst="rect">
                      <a:avLst/>
                    </a:prstGeom>
                    <a:noFill/>
                    <a:ln>
                      <a:noFill/>
                    </a:ln>
                    <a:extLst>
                      <a:ext uri="{53640926-AAD7-44D8-BBD7-CCE9431645EC}">
                        <a14:shadowObscured xmlns:a14="http://schemas.microsoft.com/office/drawing/2010/main"/>
                      </a:ext>
                    </a:extLst>
                  </pic:spPr>
                </pic:pic>
              </a:graphicData>
            </a:graphic>
          </wp:inline>
        </w:drawing>
      </w:r>
    </w:p>
    <w:p w14:paraId="48C76A48" w14:textId="09BD3DB1" w:rsidR="00BB0FA5" w:rsidRDefault="00BB0FA5">
      <w:pPr>
        <w:rPr>
          <w:rFonts w:ascii="Arial Bold" w:hAnsi="Arial Bold"/>
          <w:b/>
          <w:i/>
          <w:color w:val="AB054C"/>
          <w:sz w:val="36"/>
          <w:szCs w:val="36"/>
        </w:rPr>
      </w:pPr>
      <w:r>
        <w:rPr>
          <w:rFonts w:ascii="Arial Bold" w:hAnsi="Arial Bold"/>
          <w:b/>
          <w:i/>
          <w:color w:val="AB054C"/>
          <w:sz w:val="36"/>
          <w:szCs w:val="36"/>
        </w:rPr>
        <w:br w:type="page"/>
      </w:r>
    </w:p>
    <w:p w14:paraId="254529BE" w14:textId="77777777" w:rsidR="00194277" w:rsidRDefault="002A63D5" w:rsidP="00AA1A17">
      <w:pPr>
        <w:spacing w:before="0" w:after="0"/>
        <w:rPr>
          <w:rFonts w:ascii="Arial Bold" w:hAnsi="Arial Bold"/>
          <w:b/>
          <w:i/>
          <w:noProof/>
          <w:color w:val="AB054C"/>
          <w:sz w:val="36"/>
          <w:szCs w:val="36"/>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r w:rsidR="00194277" w:rsidRPr="00194277">
        <w:rPr>
          <w:rFonts w:ascii="Arial Bold" w:hAnsi="Arial Bold"/>
          <w:b/>
          <w:i/>
          <w:noProof/>
          <w:color w:val="AB054C"/>
          <w:sz w:val="36"/>
          <w:szCs w:val="36"/>
        </w:rPr>
        <w:t xml:space="preserve"> </w:t>
      </w:r>
    </w:p>
    <w:p w14:paraId="695F32D7" w14:textId="77777777" w:rsidR="00194277" w:rsidRDefault="00194277" w:rsidP="00AA1A17">
      <w:pPr>
        <w:spacing w:before="0" w:after="0"/>
        <w:rPr>
          <w:rFonts w:ascii="Arial Bold" w:hAnsi="Arial Bold"/>
          <w:b/>
          <w:i/>
          <w:noProof/>
          <w:color w:val="AB054C"/>
          <w:sz w:val="36"/>
          <w:szCs w:val="36"/>
        </w:rPr>
      </w:pPr>
    </w:p>
    <w:p w14:paraId="042E53A0" w14:textId="77777777" w:rsidR="00AA1A17" w:rsidRDefault="00194277" w:rsidP="00AA1A17">
      <w:pPr>
        <w:spacing w:before="0" w:after="0"/>
        <w:rPr>
          <w:rFonts w:ascii="Arial Bold" w:eastAsia="Times New Roman" w:hAnsi="Arial Bold"/>
          <w:b/>
          <w:bCs/>
          <w:color w:val="AB054C"/>
          <w:sz w:val="36"/>
          <w14:ligatures w14:val="standardContextual"/>
        </w:rPr>
      </w:pPr>
      <w:r>
        <w:rPr>
          <w:rFonts w:ascii="Arial Bold" w:hAnsi="Arial Bold"/>
          <w:b/>
          <w:i/>
          <w:noProof/>
          <w:color w:val="AB054C"/>
          <w:sz w:val="36"/>
          <w:szCs w:val="36"/>
          <w:lang w:eastAsia="en-AU"/>
        </w:rPr>
        <w:drawing>
          <wp:inline distT="0" distB="0" distL="0" distR="0" wp14:anchorId="17ABA294" wp14:editId="2E88C8A8">
            <wp:extent cx="5609493" cy="7626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2">
                      <a:extLst>
                        <a:ext uri="{28A0092B-C50C-407E-A947-70E740481C1C}">
                          <a14:useLocalDpi xmlns:a14="http://schemas.microsoft.com/office/drawing/2010/main" val="0"/>
                        </a:ext>
                      </a:extLst>
                    </a:blip>
                    <a:srcRect l="6697" t="7923" r="13910" b="15737"/>
                    <a:stretch/>
                  </pic:blipFill>
                  <pic:spPr bwMode="auto">
                    <a:xfrm>
                      <a:off x="0" y="0"/>
                      <a:ext cx="5611246" cy="7628984"/>
                    </a:xfrm>
                    <a:prstGeom prst="rect">
                      <a:avLst/>
                    </a:prstGeom>
                    <a:noFill/>
                    <a:ln>
                      <a:noFill/>
                    </a:ln>
                    <a:extLst>
                      <a:ext uri="{53640926-AAD7-44D8-BBD7-CCE9431645EC}">
                        <a14:shadowObscured xmlns:a14="http://schemas.microsoft.com/office/drawing/2010/main"/>
                      </a:ext>
                    </a:extLst>
                  </pic:spPr>
                </pic:pic>
              </a:graphicData>
            </a:graphic>
          </wp:inline>
        </w:drawing>
      </w:r>
    </w:p>
    <w:p w14:paraId="004ADBB9" w14:textId="55D2E218" w:rsidR="00BB0FA5" w:rsidRDefault="00BB0FA5">
      <w:pPr>
        <w:rPr>
          <w:rFonts w:ascii="Arial Bold" w:eastAsia="Times New Roman" w:hAnsi="Arial Bold"/>
          <w:b/>
          <w:bCs/>
          <w:color w:val="AB054C"/>
          <w:sz w:val="36"/>
          <w14:ligatures w14:val="standardContextual"/>
        </w:rPr>
      </w:pPr>
      <w:r>
        <w:rPr>
          <w:rFonts w:ascii="Arial Bold" w:eastAsia="Times New Roman" w:hAnsi="Arial Bold"/>
          <w:b/>
          <w:bCs/>
          <w:color w:val="AB054C"/>
          <w:sz w:val="36"/>
          <w14:ligatures w14:val="standardContextual"/>
        </w:rPr>
        <w:br w:type="page"/>
      </w:r>
    </w:p>
    <w:p w14:paraId="52DBFD55" w14:textId="77777777" w:rsidR="00AB6697" w:rsidRPr="007A755D" w:rsidRDefault="00AB6697" w:rsidP="00AB6697">
      <w:pPr>
        <w:spacing w:before="0" w:after="0"/>
        <w:rPr>
          <w:rFonts w:ascii="Arial Bold" w:eastAsia="Times New Roman" w:hAnsi="Arial Bold"/>
          <w:b/>
          <w:bCs/>
          <w:color w:val="AB054C"/>
          <w:sz w:val="36"/>
          <w14:ligatures w14:val="standardContextual"/>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p>
    <w:p w14:paraId="5C927767" w14:textId="77777777" w:rsidR="00AB6697" w:rsidRDefault="00AB6697" w:rsidP="00AA1A17">
      <w:pPr>
        <w:spacing w:before="0" w:after="0"/>
        <w:rPr>
          <w:rFonts w:ascii="Arial Bold" w:eastAsia="Times New Roman" w:hAnsi="Arial Bold"/>
          <w:b/>
          <w:bCs/>
          <w:color w:val="AB054C"/>
          <w:sz w:val="36"/>
          <w14:ligatures w14:val="standardContextual"/>
        </w:rPr>
      </w:pPr>
    </w:p>
    <w:p w14:paraId="79FB8441" w14:textId="77777777" w:rsidR="00507826" w:rsidRDefault="00CB4638" w:rsidP="00AA1A17">
      <w:pPr>
        <w:spacing w:before="0" w:after="0"/>
        <w:rPr>
          <w:rFonts w:ascii="Arial Bold" w:hAnsi="Arial Bold"/>
          <w:b/>
          <w:i/>
          <w:color w:val="AB054C"/>
          <w:sz w:val="36"/>
          <w:szCs w:val="36"/>
        </w:rPr>
      </w:pPr>
      <w:r>
        <w:rPr>
          <w:rFonts w:ascii="Arial Bold" w:hAnsi="Arial Bold"/>
          <w:b/>
          <w:i/>
          <w:noProof/>
          <w:color w:val="AB054C"/>
          <w:sz w:val="36"/>
          <w:szCs w:val="36"/>
          <w:lang w:eastAsia="en-AU"/>
        </w:rPr>
        <w:drawing>
          <wp:inline distT="0" distB="0" distL="0" distR="0" wp14:anchorId="5086940C" wp14:editId="55EA60FB">
            <wp:extent cx="5494002" cy="767461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3">
                      <a:extLst>
                        <a:ext uri="{28A0092B-C50C-407E-A947-70E740481C1C}">
                          <a14:useLocalDpi xmlns:a14="http://schemas.microsoft.com/office/drawing/2010/main" val="0"/>
                        </a:ext>
                      </a:extLst>
                    </a:blip>
                    <a:srcRect l="6422" t="6860" r="8193" b="8787"/>
                    <a:stretch/>
                  </pic:blipFill>
                  <pic:spPr bwMode="auto">
                    <a:xfrm>
                      <a:off x="0" y="0"/>
                      <a:ext cx="5495109" cy="7676156"/>
                    </a:xfrm>
                    <a:prstGeom prst="rect">
                      <a:avLst/>
                    </a:prstGeom>
                    <a:noFill/>
                    <a:ln>
                      <a:noFill/>
                    </a:ln>
                    <a:extLst>
                      <a:ext uri="{53640926-AAD7-44D8-BBD7-CCE9431645EC}">
                        <a14:shadowObscured xmlns:a14="http://schemas.microsoft.com/office/drawing/2010/main"/>
                      </a:ext>
                    </a:extLst>
                  </pic:spPr>
                </pic:pic>
              </a:graphicData>
            </a:graphic>
          </wp:inline>
        </w:drawing>
      </w:r>
    </w:p>
    <w:p w14:paraId="410DA9A6" w14:textId="291D030B" w:rsidR="00BB0FA5" w:rsidRDefault="00BB0FA5">
      <w:pPr>
        <w:rPr>
          <w:rFonts w:ascii="Arial Bold" w:hAnsi="Arial Bold"/>
          <w:b/>
          <w:i/>
          <w:color w:val="AB054C"/>
          <w:sz w:val="36"/>
          <w:szCs w:val="36"/>
        </w:rPr>
      </w:pPr>
      <w:r>
        <w:rPr>
          <w:rFonts w:ascii="Arial Bold" w:hAnsi="Arial Bold"/>
          <w:b/>
          <w:i/>
          <w:color w:val="AB054C"/>
          <w:sz w:val="36"/>
          <w:szCs w:val="36"/>
        </w:rPr>
        <w:br w:type="page"/>
      </w:r>
    </w:p>
    <w:p w14:paraId="44321ED8" w14:textId="39FB46B7" w:rsidR="00C75809" w:rsidRDefault="001E3DC9" w:rsidP="00C75809">
      <w:pPr>
        <w:spacing w:before="0" w:after="0"/>
        <w:rPr>
          <w:rFonts w:ascii="Arial Bold" w:eastAsia="Times New Roman" w:hAnsi="Arial Bold"/>
          <w:b/>
          <w:bCs/>
          <w:color w:val="AB054C"/>
          <w:sz w:val="36"/>
          <w14:ligatures w14:val="standardContextual"/>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p>
    <w:p w14:paraId="77D49E83" w14:textId="77777777" w:rsidR="00F5629C" w:rsidRDefault="00F5629C" w:rsidP="00C75809">
      <w:pPr>
        <w:spacing w:before="0" w:after="0"/>
        <w:rPr>
          <w:rFonts w:ascii="Arial Bold" w:eastAsia="Times New Roman" w:hAnsi="Arial Bold"/>
          <w:b/>
          <w:bCs/>
          <w:color w:val="AB054C"/>
          <w:sz w:val="36"/>
          <w14:ligatures w14:val="standardContextual"/>
        </w:rPr>
      </w:pPr>
    </w:p>
    <w:p w14:paraId="51D620A1" w14:textId="77777777" w:rsidR="00C75809" w:rsidRDefault="00CB4638" w:rsidP="00C75809">
      <w:pPr>
        <w:spacing w:before="0" w:after="0"/>
        <w:rPr>
          <w:rFonts w:ascii="Arial Bold" w:hAnsi="Arial Bold"/>
          <w:b/>
          <w:i/>
          <w:color w:val="AB054C"/>
          <w:sz w:val="36"/>
          <w:szCs w:val="36"/>
        </w:rPr>
      </w:pPr>
      <w:r>
        <w:rPr>
          <w:rFonts w:ascii="Arial Bold" w:hAnsi="Arial Bold"/>
          <w:b/>
          <w:i/>
          <w:noProof/>
          <w:color w:val="AB054C"/>
          <w:sz w:val="36"/>
          <w:szCs w:val="36"/>
          <w:lang w:eastAsia="en-AU"/>
        </w:rPr>
        <w:drawing>
          <wp:inline distT="0" distB="0" distL="0" distR="0" wp14:anchorId="1B97681C" wp14:editId="1A81B55E">
            <wp:extent cx="5072575" cy="7348662"/>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4">
                      <a:extLst>
                        <a:ext uri="{28A0092B-C50C-407E-A947-70E740481C1C}">
                          <a14:useLocalDpi xmlns:a14="http://schemas.microsoft.com/office/drawing/2010/main" val="0"/>
                        </a:ext>
                      </a:extLst>
                    </a:blip>
                    <a:srcRect l="7788" t="7536" r="13358" b="11674"/>
                    <a:stretch/>
                  </pic:blipFill>
                  <pic:spPr bwMode="auto">
                    <a:xfrm>
                      <a:off x="0" y="0"/>
                      <a:ext cx="5074803" cy="7351890"/>
                    </a:xfrm>
                    <a:prstGeom prst="rect">
                      <a:avLst/>
                    </a:prstGeom>
                    <a:noFill/>
                    <a:ln>
                      <a:noFill/>
                    </a:ln>
                    <a:extLst>
                      <a:ext uri="{53640926-AAD7-44D8-BBD7-CCE9431645EC}">
                        <a14:shadowObscured xmlns:a14="http://schemas.microsoft.com/office/drawing/2010/main"/>
                      </a:ext>
                    </a:extLst>
                  </pic:spPr>
                </pic:pic>
              </a:graphicData>
            </a:graphic>
          </wp:inline>
        </w:drawing>
      </w:r>
    </w:p>
    <w:p w14:paraId="1EAEAA5D" w14:textId="77777777" w:rsidR="006308AA" w:rsidRDefault="006308AA" w:rsidP="00C75809">
      <w:pPr>
        <w:spacing w:before="0" w:after="0"/>
        <w:rPr>
          <w:rFonts w:ascii="Arial Bold" w:hAnsi="Arial Bold"/>
          <w:b/>
          <w:i/>
          <w:color w:val="AB054C"/>
          <w:sz w:val="36"/>
          <w:szCs w:val="36"/>
        </w:rPr>
      </w:pPr>
    </w:p>
    <w:p w14:paraId="2DCA7E83" w14:textId="77777777" w:rsidR="006308AA" w:rsidRDefault="006308AA" w:rsidP="00C75809">
      <w:pPr>
        <w:spacing w:before="0" w:after="0"/>
        <w:rPr>
          <w:rFonts w:ascii="Arial Bold" w:hAnsi="Arial Bold"/>
          <w:b/>
          <w:i/>
          <w:color w:val="AB054C"/>
          <w:sz w:val="36"/>
          <w:szCs w:val="36"/>
        </w:rPr>
      </w:pPr>
    </w:p>
    <w:p w14:paraId="4C64416E" w14:textId="25535E37" w:rsidR="00BB0FA5" w:rsidRDefault="00BB0FA5">
      <w:pPr>
        <w:rPr>
          <w:rFonts w:ascii="Arial Bold" w:hAnsi="Arial Bold"/>
          <w:b/>
          <w:i/>
          <w:color w:val="AB054C"/>
          <w:sz w:val="36"/>
          <w:szCs w:val="36"/>
        </w:rPr>
      </w:pPr>
      <w:r>
        <w:rPr>
          <w:rFonts w:ascii="Arial Bold" w:hAnsi="Arial Bold"/>
          <w:b/>
          <w:i/>
          <w:color w:val="AB054C"/>
          <w:sz w:val="36"/>
          <w:szCs w:val="36"/>
        </w:rPr>
        <w:br w:type="page"/>
      </w:r>
    </w:p>
    <w:p w14:paraId="3D2EEAA2" w14:textId="77777777" w:rsidR="006308AA" w:rsidRPr="007A755D" w:rsidRDefault="006308AA" w:rsidP="006308AA">
      <w:pPr>
        <w:spacing w:before="0" w:after="0"/>
        <w:rPr>
          <w:rFonts w:ascii="Arial Bold" w:eastAsia="Times New Roman" w:hAnsi="Arial Bold"/>
          <w:b/>
          <w:bCs/>
          <w:color w:val="AB054C"/>
          <w:sz w:val="36"/>
          <w14:ligatures w14:val="standardContextual"/>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p>
    <w:p w14:paraId="4BEC223E" w14:textId="77777777" w:rsidR="00CB4638" w:rsidRDefault="0067567E" w:rsidP="00C75809">
      <w:pPr>
        <w:spacing w:before="0" w:after="0"/>
        <w:rPr>
          <w:rFonts w:ascii="Arial Bold" w:hAnsi="Arial Bold"/>
          <w:b/>
          <w:i/>
          <w:color w:val="AB054C"/>
          <w:sz w:val="36"/>
          <w:szCs w:val="36"/>
        </w:rPr>
      </w:pPr>
      <w:r>
        <w:rPr>
          <w:rFonts w:ascii="Arial Bold" w:hAnsi="Arial Bold"/>
          <w:b/>
          <w:i/>
          <w:noProof/>
          <w:color w:val="AB054C"/>
          <w:sz w:val="36"/>
          <w:szCs w:val="36"/>
          <w:lang w:eastAsia="en-AU"/>
        </w:rPr>
        <w:drawing>
          <wp:inline distT="0" distB="0" distL="0" distR="0" wp14:anchorId="7D179DA7" wp14:editId="0E080CF4">
            <wp:extent cx="5882054" cy="7543274"/>
            <wp:effectExtent l="0" t="0" r="4445"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5">
                      <a:extLst>
                        <a:ext uri="{28A0092B-C50C-407E-A947-70E740481C1C}">
                          <a14:useLocalDpi xmlns:a14="http://schemas.microsoft.com/office/drawing/2010/main" val="0"/>
                        </a:ext>
                      </a:extLst>
                    </a:blip>
                    <a:srcRect l="5603" t="6280" r="9263" b="16508"/>
                    <a:stretch/>
                  </pic:blipFill>
                  <pic:spPr bwMode="auto">
                    <a:xfrm>
                      <a:off x="0" y="0"/>
                      <a:ext cx="5885311" cy="7547451"/>
                    </a:xfrm>
                    <a:prstGeom prst="rect">
                      <a:avLst/>
                    </a:prstGeom>
                    <a:noFill/>
                    <a:ln>
                      <a:noFill/>
                    </a:ln>
                    <a:extLst>
                      <a:ext uri="{53640926-AAD7-44D8-BBD7-CCE9431645EC}">
                        <a14:shadowObscured xmlns:a14="http://schemas.microsoft.com/office/drawing/2010/main"/>
                      </a:ext>
                    </a:extLst>
                  </pic:spPr>
                </pic:pic>
              </a:graphicData>
            </a:graphic>
          </wp:inline>
        </w:drawing>
      </w:r>
    </w:p>
    <w:p w14:paraId="3CEA72C0" w14:textId="77777777" w:rsidR="006308AA" w:rsidRDefault="006308AA" w:rsidP="00C75809">
      <w:pPr>
        <w:spacing w:before="0" w:after="0"/>
        <w:rPr>
          <w:rFonts w:ascii="Arial Bold" w:hAnsi="Arial Bold"/>
          <w:b/>
          <w:i/>
          <w:color w:val="AB054C"/>
          <w:sz w:val="36"/>
          <w:szCs w:val="36"/>
        </w:rPr>
      </w:pPr>
    </w:p>
    <w:p w14:paraId="0940FB82" w14:textId="77777777" w:rsidR="006308AA" w:rsidRDefault="006308AA" w:rsidP="00C75809">
      <w:pPr>
        <w:spacing w:before="0" w:after="0"/>
        <w:rPr>
          <w:rFonts w:ascii="Arial Bold" w:hAnsi="Arial Bold"/>
          <w:b/>
          <w:i/>
          <w:color w:val="AB054C"/>
          <w:sz w:val="36"/>
          <w:szCs w:val="36"/>
        </w:rPr>
      </w:pPr>
    </w:p>
    <w:p w14:paraId="1CFD4FD8" w14:textId="18CECEA4" w:rsidR="00BB0FA5" w:rsidRDefault="00BB0FA5">
      <w:pPr>
        <w:rPr>
          <w:rFonts w:ascii="Arial Bold" w:hAnsi="Arial Bold"/>
          <w:b/>
          <w:i/>
          <w:color w:val="AB054C"/>
          <w:sz w:val="36"/>
          <w:szCs w:val="36"/>
        </w:rPr>
      </w:pPr>
      <w:r>
        <w:rPr>
          <w:rFonts w:ascii="Arial Bold" w:hAnsi="Arial Bold"/>
          <w:b/>
          <w:i/>
          <w:color w:val="AB054C"/>
          <w:sz w:val="36"/>
          <w:szCs w:val="36"/>
        </w:rPr>
        <w:br w:type="page"/>
      </w:r>
    </w:p>
    <w:p w14:paraId="3CECCBFD" w14:textId="77777777" w:rsidR="00C75809" w:rsidRPr="007A755D" w:rsidRDefault="00C75809" w:rsidP="00C75809">
      <w:pPr>
        <w:spacing w:before="0" w:after="0"/>
        <w:rPr>
          <w:rFonts w:ascii="Arial Bold" w:eastAsia="Times New Roman" w:hAnsi="Arial Bold"/>
          <w:b/>
          <w:bCs/>
          <w:color w:val="AB054C"/>
          <w:sz w:val="36"/>
          <w14:ligatures w14:val="standardContextual"/>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p>
    <w:p w14:paraId="635A7D6D" w14:textId="77777777" w:rsidR="00C75809" w:rsidRDefault="00C75809" w:rsidP="00C75809">
      <w:pPr>
        <w:spacing w:before="0" w:after="0"/>
        <w:rPr>
          <w:rFonts w:ascii="Arial Bold" w:hAnsi="Arial Bold"/>
          <w:b/>
          <w:i/>
          <w:color w:val="AB054C"/>
          <w:sz w:val="36"/>
          <w:szCs w:val="36"/>
        </w:rPr>
      </w:pPr>
    </w:p>
    <w:p w14:paraId="218ABA9B" w14:textId="77777777" w:rsidR="00E631D7" w:rsidRDefault="00E631D7" w:rsidP="004700EE">
      <w:pPr>
        <w:spacing w:before="0" w:after="0" w:line="360" w:lineRule="auto"/>
        <w:rPr>
          <w:rFonts w:ascii="Arial Bold" w:hAnsi="Arial Bold"/>
          <w:b/>
          <w:i/>
          <w:color w:val="AB054C"/>
          <w:sz w:val="36"/>
          <w:szCs w:val="36"/>
        </w:rPr>
      </w:pPr>
      <w:r>
        <w:rPr>
          <w:rFonts w:ascii="Arial Bold" w:hAnsi="Arial Bold"/>
          <w:b/>
          <w:i/>
          <w:noProof/>
          <w:color w:val="AB054C"/>
          <w:sz w:val="36"/>
          <w:szCs w:val="36"/>
          <w:lang w:eastAsia="en-AU"/>
        </w:rPr>
        <w:drawing>
          <wp:inline distT="0" distB="0" distL="0" distR="0" wp14:anchorId="65E594BA" wp14:editId="3387843B">
            <wp:extent cx="6189785" cy="4882445"/>
            <wp:effectExtent l="0" t="0" r="190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6">
                      <a:extLst>
                        <a:ext uri="{28A0092B-C50C-407E-A947-70E740481C1C}">
                          <a14:useLocalDpi xmlns:a14="http://schemas.microsoft.com/office/drawing/2010/main" val="0"/>
                        </a:ext>
                      </a:extLst>
                    </a:blip>
                    <a:srcRect l="4235" t="6956" r="10378" b="45411"/>
                    <a:stretch/>
                  </pic:blipFill>
                  <pic:spPr bwMode="auto">
                    <a:xfrm>
                      <a:off x="0" y="0"/>
                      <a:ext cx="6193426" cy="4885317"/>
                    </a:xfrm>
                    <a:prstGeom prst="rect">
                      <a:avLst/>
                    </a:prstGeom>
                    <a:noFill/>
                    <a:ln>
                      <a:noFill/>
                    </a:ln>
                    <a:extLst>
                      <a:ext uri="{53640926-AAD7-44D8-BBD7-CCE9431645EC}">
                        <a14:shadowObscured xmlns:a14="http://schemas.microsoft.com/office/drawing/2010/main"/>
                      </a:ext>
                    </a:extLst>
                  </pic:spPr>
                </pic:pic>
              </a:graphicData>
            </a:graphic>
          </wp:inline>
        </w:drawing>
      </w:r>
    </w:p>
    <w:p w14:paraId="62259763" w14:textId="77777777" w:rsidR="00FE1EAB" w:rsidRDefault="00FE1EAB" w:rsidP="004700EE">
      <w:pPr>
        <w:spacing w:before="0" w:after="0" w:line="360" w:lineRule="auto"/>
        <w:rPr>
          <w:rFonts w:ascii="Arial Bold" w:hAnsi="Arial Bold"/>
          <w:b/>
          <w:i/>
          <w:color w:val="AB054C"/>
          <w:sz w:val="36"/>
          <w:szCs w:val="36"/>
        </w:rPr>
      </w:pPr>
    </w:p>
    <w:p w14:paraId="572D8AF4" w14:textId="77777777" w:rsidR="008C143D" w:rsidRDefault="008C143D" w:rsidP="004700EE">
      <w:pPr>
        <w:spacing w:before="0" w:after="0" w:line="360" w:lineRule="auto"/>
        <w:rPr>
          <w:rFonts w:ascii="Arial Bold" w:hAnsi="Arial Bold"/>
          <w:b/>
          <w:i/>
          <w:color w:val="AB054C"/>
          <w:sz w:val="36"/>
          <w:szCs w:val="36"/>
        </w:rPr>
      </w:pPr>
    </w:p>
    <w:p w14:paraId="09389241" w14:textId="77777777" w:rsidR="008C143D" w:rsidRDefault="008C143D" w:rsidP="004700EE">
      <w:pPr>
        <w:spacing w:before="0" w:after="0" w:line="360" w:lineRule="auto"/>
        <w:rPr>
          <w:rFonts w:ascii="Arial Bold" w:hAnsi="Arial Bold"/>
          <w:b/>
          <w:i/>
          <w:color w:val="AB054C"/>
          <w:sz w:val="36"/>
          <w:szCs w:val="36"/>
        </w:rPr>
      </w:pPr>
    </w:p>
    <w:p w14:paraId="5A4F7265" w14:textId="77777777" w:rsidR="008C143D" w:rsidRDefault="008C143D" w:rsidP="004700EE">
      <w:pPr>
        <w:spacing w:before="0" w:after="0" w:line="360" w:lineRule="auto"/>
        <w:rPr>
          <w:rFonts w:ascii="Arial Bold" w:hAnsi="Arial Bold"/>
          <w:b/>
          <w:i/>
          <w:color w:val="AB054C"/>
          <w:sz w:val="36"/>
          <w:szCs w:val="36"/>
        </w:rPr>
      </w:pPr>
    </w:p>
    <w:p w14:paraId="34E48208" w14:textId="77777777" w:rsidR="008C143D" w:rsidRDefault="008C143D" w:rsidP="004700EE">
      <w:pPr>
        <w:spacing w:before="0" w:after="0" w:line="360" w:lineRule="auto"/>
        <w:rPr>
          <w:rFonts w:ascii="Arial Bold" w:hAnsi="Arial Bold"/>
          <w:b/>
          <w:i/>
          <w:color w:val="AB054C"/>
          <w:sz w:val="36"/>
          <w:szCs w:val="36"/>
        </w:rPr>
      </w:pPr>
    </w:p>
    <w:p w14:paraId="3D5D319E" w14:textId="77777777" w:rsidR="008C143D" w:rsidRDefault="008C143D" w:rsidP="004700EE">
      <w:pPr>
        <w:spacing w:before="0" w:after="0" w:line="360" w:lineRule="auto"/>
        <w:rPr>
          <w:rFonts w:ascii="Arial Bold" w:hAnsi="Arial Bold"/>
          <w:b/>
          <w:i/>
          <w:color w:val="AB054C"/>
          <w:sz w:val="36"/>
          <w:szCs w:val="36"/>
        </w:rPr>
      </w:pPr>
    </w:p>
    <w:p w14:paraId="3B454387" w14:textId="6D0A8697" w:rsidR="00BB0FA5" w:rsidRDefault="00BB0FA5">
      <w:pPr>
        <w:rPr>
          <w:rFonts w:ascii="Arial Bold" w:hAnsi="Arial Bold"/>
          <w:b/>
          <w:i/>
          <w:color w:val="AB054C"/>
          <w:sz w:val="36"/>
          <w:szCs w:val="36"/>
        </w:rPr>
      </w:pPr>
      <w:r>
        <w:rPr>
          <w:rFonts w:ascii="Arial Bold" w:hAnsi="Arial Bold"/>
          <w:b/>
          <w:i/>
          <w:color w:val="AB054C"/>
          <w:sz w:val="36"/>
          <w:szCs w:val="36"/>
        </w:rPr>
        <w:br w:type="page"/>
      </w:r>
    </w:p>
    <w:p w14:paraId="6B3C76AB" w14:textId="77777777" w:rsidR="008C143D" w:rsidRPr="007A755D" w:rsidRDefault="008C143D" w:rsidP="008C143D">
      <w:pPr>
        <w:spacing w:before="0" w:after="0"/>
        <w:rPr>
          <w:rFonts w:ascii="Arial Bold" w:eastAsia="Times New Roman" w:hAnsi="Arial Bold"/>
          <w:b/>
          <w:bCs/>
          <w:color w:val="AB054C"/>
          <w:sz w:val="36"/>
          <w14:ligatures w14:val="standardContextual"/>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p>
    <w:p w14:paraId="09A17C27" w14:textId="77777777" w:rsidR="00FE1EAB" w:rsidRDefault="00FE1EAB" w:rsidP="004700EE">
      <w:pPr>
        <w:spacing w:before="0" w:after="0" w:line="360" w:lineRule="auto"/>
        <w:rPr>
          <w:rFonts w:ascii="Arial Bold" w:hAnsi="Arial Bold"/>
          <w:b/>
          <w:i/>
          <w:color w:val="AB054C"/>
          <w:sz w:val="36"/>
          <w:szCs w:val="36"/>
        </w:rPr>
      </w:pPr>
      <w:r>
        <w:rPr>
          <w:rFonts w:ascii="Arial Bold" w:hAnsi="Arial Bold"/>
          <w:b/>
          <w:i/>
          <w:noProof/>
          <w:color w:val="AB054C"/>
          <w:sz w:val="36"/>
          <w:szCs w:val="36"/>
          <w:lang w:eastAsia="en-AU"/>
        </w:rPr>
        <w:drawing>
          <wp:inline distT="0" distB="0" distL="0" distR="0" wp14:anchorId="70E88B0C" wp14:editId="242B2D5E">
            <wp:extent cx="6250940" cy="607548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7">
                      <a:extLst>
                        <a:ext uri="{28A0092B-C50C-407E-A947-70E740481C1C}">
                          <a14:useLocalDpi xmlns:a14="http://schemas.microsoft.com/office/drawing/2010/main" val="0"/>
                        </a:ext>
                      </a:extLst>
                    </a:blip>
                    <a:srcRect r="2865" b="33234"/>
                    <a:stretch/>
                  </pic:blipFill>
                  <pic:spPr bwMode="auto">
                    <a:xfrm>
                      <a:off x="0" y="0"/>
                      <a:ext cx="6251331" cy="6075865"/>
                    </a:xfrm>
                    <a:prstGeom prst="rect">
                      <a:avLst/>
                    </a:prstGeom>
                    <a:noFill/>
                    <a:ln>
                      <a:noFill/>
                    </a:ln>
                    <a:extLst>
                      <a:ext uri="{53640926-AAD7-44D8-BBD7-CCE9431645EC}">
                        <a14:shadowObscured xmlns:a14="http://schemas.microsoft.com/office/drawing/2010/main"/>
                      </a:ext>
                    </a:extLst>
                  </pic:spPr>
                </pic:pic>
              </a:graphicData>
            </a:graphic>
          </wp:inline>
        </w:drawing>
      </w:r>
    </w:p>
    <w:p w14:paraId="1324ABBA" w14:textId="77777777" w:rsidR="00772BD3" w:rsidRDefault="00772BD3" w:rsidP="004700EE">
      <w:pPr>
        <w:spacing w:before="0" w:after="0" w:line="360" w:lineRule="auto"/>
        <w:rPr>
          <w:rFonts w:ascii="Arial Bold" w:hAnsi="Arial Bold"/>
          <w:b/>
          <w:i/>
          <w:color w:val="AB054C"/>
          <w:sz w:val="36"/>
          <w:szCs w:val="36"/>
        </w:rPr>
      </w:pPr>
    </w:p>
    <w:p w14:paraId="00DCC3F5" w14:textId="77777777" w:rsidR="00772BD3" w:rsidRDefault="00772BD3" w:rsidP="004700EE">
      <w:pPr>
        <w:spacing w:before="0" w:after="0" w:line="360" w:lineRule="auto"/>
        <w:rPr>
          <w:rFonts w:ascii="Arial Bold" w:hAnsi="Arial Bold"/>
          <w:b/>
          <w:i/>
          <w:color w:val="AB054C"/>
          <w:sz w:val="36"/>
          <w:szCs w:val="36"/>
        </w:rPr>
      </w:pPr>
    </w:p>
    <w:p w14:paraId="30564920" w14:textId="77777777" w:rsidR="00772BD3" w:rsidRDefault="00772BD3" w:rsidP="004700EE">
      <w:pPr>
        <w:spacing w:before="0" w:after="0" w:line="360" w:lineRule="auto"/>
        <w:rPr>
          <w:rFonts w:ascii="Arial Bold" w:hAnsi="Arial Bold"/>
          <w:b/>
          <w:i/>
          <w:color w:val="AB054C"/>
          <w:sz w:val="36"/>
          <w:szCs w:val="36"/>
        </w:rPr>
      </w:pPr>
    </w:p>
    <w:p w14:paraId="7940102A" w14:textId="77777777" w:rsidR="00772BD3" w:rsidRDefault="00772BD3" w:rsidP="004700EE">
      <w:pPr>
        <w:spacing w:before="0" w:after="0" w:line="360" w:lineRule="auto"/>
        <w:rPr>
          <w:rFonts w:ascii="Arial Bold" w:hAnsi="Arial Bold"/>
          <w:b/>
          <w:i/>
          <w:color w:val="AB054C"/>
          <w:sz w:val="36"/>
          <w:szCs w:val="36"/>
        </w:rPr>
      </w:pPr>
    </w:p>
    <w:p w14:paraId="29B901CD" w14:textId="7AD6E7EF" w:rsidR="00BB0FA5" w:rsidRDefault="00BB0FA5">
      <w:pPr>
        <w:rPr>
          <w:rFonts w:ascii="Arial Bold" w:hAnsi="Arial Bold"/>
          <w:b/>
          <w:i/>
          <w:color w:val="AB054C"/>
          <w:sz w:val="36"/>
          <w:szCs w:val="36"/>
        </w:rPr>
      </w:pPr>
      <w:r>
        <w:rPr>
          <w:rFonts w:ascii="Arial Bold" w:hAnsi="Arial Bold"/>
          <w:b/>
          <w:i/>
          <w:color w:val="AB054C"/>
          <w:sz w:val="36"/>
          <w:szCs w:val="36"/>
        </w:rPr>
        <w:br w:type="page"/>
      </w:r>
    </w:p>
    <w:p w14:paraId="3986CBF2" w14:textId="77777777" w:rsidR="00772BD3" w:rsidRPr="007A755D" w:rsidRDefault="00772BD3" w:rsidP="00772BD3">
      <w:pPr>
        <w:spacing w:before="0" w:after="0"/>
        <w:rPr>
          <w:rFonts w:ascii="Arial Bold" w:eastAsia="Times New Roman" w:hAnsi="Arial Bold"/>
          <w:b/>
          <w:bCs/>
          <w:color w:val="AB054C"/>
          <w:sz w:val="36"/>
          <w14:ligatures w14:val="standardContextual"/>
        </w:rPr>
      </w:pPr>
      <w:r w:rsidRPr="007A755D">
        <w:rPr>
          <w:rFonts w:ascii="Arial Bold" w:eastAsia="Times New Roman" w:hAnsi="Arial Bold"/>
          <w:b/>
          <w:bCs/>
          <w:color w:val="AB054C"/>
          <w:sz w:val="36"/>
          <w14:ligatures w14:val="standardContextual"/>
        </w:rPr>
        <w:lastRenderedPageBreak/>
        <w:t xml:space="preserve">Notes to and forming part of the financial statements </w:t>
      </w:r>
      <w:r w:rsidRPr="007A755D">
        <w:rPr>
          <w:rFonts w:ascii="Arial Bold" w:eastAsia="Times New Roman" w:hAnsi="Arial Bold"/>
          <w:b/>
          <w:bCs/>
          <w:color w:val="AB054C"/>
          <w:sz w:val="36"/>
          <w14:ligatures w14:val="standardContextual"/>
        </w:rPr>
        <w:br/>
        <w:t>2017-18 (cont’d)</w:t>
      </w:r>
    </w:p>
    <w:p w14:paraId="034ADEC8" w14:textId="77777777" w:rsidR="00FE1EAB" w:rsidRDefault="00FE1EAB" w:rsidP="004700EE">
      <w:pPr>
        <w:spacing w:before="0" w:after="0" w:line="360" w:lineRule="auto"/>
        <w:rPr>
          <w:rFonts w:ascii="Arial Bold" w:hAnsi="Arial Bold"/>
          <w:b/>
          <w:i/>
          <w:color w:val="AB054C"/>
          <w:sz w:val="36"/>
          <w:szCs w:val="36"/>
        </w:rPr>
      </w:pPr>
      <w:r>
        <w:rPr>
          <w:rFonts w:ascii="Arial Bold" w:hAnsi="Arial Bold"/>
          <w:b/>
          <w:i/>
          <w:noProof/>
          <w:color w:val="AB054C"/>
          <w:sz w:val="36"/>
          <w:szCs w:val="36"/>
          <w:lang w:eastAsia="en-AU"/>
        </w:rPr>
        <w:drawing>
          <wp:inline distT="0" distB="0" distL="0" distR="0" wp14:anchorId="2778391B" wp14:editId="4A337F00">
            <wp:extent cx="6101862" cy="522224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8">
                      <a:extLst>
                        <a:ext uri="{28A0092B-C50C-407E-A947-70E740481C1C}">
                          <a14:useLocalDpi xmlns:a14="http://schemas.microsoft.com/office/drawing/2010/main" val="0"/>
                        </a:ext>
                      </a:extLst>
                    </a:blip>
                    <a:srcRect r="5181" b="42610"/>
                    <a:stretch/>
                  </pic:blipFill>
                  <pic:spPr bwMode="auto">
                    <a:xfrm>
                      <a:off x="0" y="0"/>
                      <a:ext cx="6102319" cy="5222631"/>
                    </a:xfrm>
                    <a:prstGeom prst="rect">
                      <a:avLst/>
                    </a:prstGeom>
                    <a:noFill/>
                    <a:ln>
                      <a:noFill/>
                    </a:ln>
                    <a:extLst>
                      <a:ext uri="{53640926-AAD7-44D8-BBD7-CCE9431645EC}">
                        <a14:shadowObscured xmlns:a14="http://schemas.microsoft.com/office/drawing/2010/main"/>
                      </a:ext>
                    </a:extLst>
                  </pic:spPr>
                </pic:pic>
              </a:graphicData>
            </a:graphic>
          </wp:inline>
        </w:drawing>
      </w:r>
    </w:p>
    <w:p w14:paraId="6A51464B" w14:textId="77777777" w:rsidR="00FE1EAB" w:rsidRDefault="00FE1EAB" w:rsidP="004700EE">
      <w:pPr>
        <w:spacing w:before="0" w:after="0" w:line="360" w:lineRule="auto"/>
        <w:rPr>
          <w:rFonts w:ascii="Arial Bold" w:hAnsi="Arial Bold"/>
          <w:b/>
          <w:i/>
          <w:color w:val="AB054C"/>
          <w:sz w:val="36"/>
          <w:szCs w:val="36"/>
        </w:rPr>
        <w:sectPr w:rsidR="00FE1EAB" w:rsidSect="009A3D4A">
          <w:pgSz w:w="11906" w:h="16838" w:code="9"/>
          <w:pgMar w:top="720" w:right="964" w:bottom="720" w:left="1134" w:header="567" w:footer="567" w:gutter="0"/>
          <w:cols w:space="720"/>
          <w:docGrid w:linePitch="360"/>
        </w:sectPr>
      </w:pPr>
    </w:p>
    <w:p w14:paraId="4B028875" w14:textId="77777777" w:rsidR="00FD05CF" w:rsidRPr="009E196D" w:rsidRDefault="00FD05CF" w:rsidP="009D6B00">
      <w:pPr>
        <w:pStyle w:val="Heading2"/>
      </w:pPr>
      <w:bookmarkStart w:id="114" w:name="_Toc523402646"/>
      <w:bookmarkStart w:id="115" w:name="_Toc524519426"/>
      <w:bookmarkStart w:id="116" w:name="_Toc462294314"/>
      <w:bookmarkStart w:id="117" w:name="_Toc522266483"/>
      <w:r>
        <w:lastRenderedPageBreak/>
        <w:t>Management certificate</w:t>
      </w:r>
      <w:bookmarkEnd w:id="114"/>
      <w:bookmarkEnd w:id="115"/>
      <w:r>
        <w:t xml:space="preserve"> </w:t>
      </w:r>
    </w:p>
    <w:bookmarkEnd w:id="116"/>
    <w:bookmarkEnd w:id="117"/>
    <w:p w14:paraId="3B39DFD9" w14:textId="77777777" w:rsidR="00FE1EAB" w:rsidRDefault="00FE1EAB" w:rsidP="00FE1EAB">
      <w:pPr>
        <w:tabs>
          <w:tab w:val="left" w:pos="2506"/>
        </w:tabs>
        <w:spacing w:before="0"/>
      </w:pPr>
      <w:r>
        <w:tab/>
      </w:r>
    </w:p>
    <w:p w14:paraId="364D5E86" w14:textId="77777777" w:rsidR="009B6859" w:rsidRDefault="00FE1EAB" w:rsidP="00FE1EAB">
      <w:pPr>
        <w:tabs>
          <w:tab w:val="left" w:pos="2506"/>
        </w:tabs>
        <w:spacing w:before="0"/>
      </w:pPr>
      <w:r>
        <w:rPr>
          <w:noProof/>
          <w:lang w:eastAsia="en-AU"/>
        </w:rPr>
        <w:drawing>
          <wp:inline distT="0" distB="0" distL="0" distR="0" wp14:anchorId="349BF3B3" wp14:editId="5DE0E58E">
            <wp:extent cx="6250940" cy="4342613"/>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9">
                      <a:extLst>
                        <a:ext uri="{28A0092B-C50C-407E-A947-70E740481C1C}">
                          <a14:useLocalDpi xmlns:a14="http://schemas.microsoft.com/office/drawing/2010/main" val="0"/>
                        </a:ext>
                      </a:extLst>
                    </a:blip>
                    <a:srcRect t="4542" r="2856" b="47730"/>
                    <a:stretch/>
                  </pic:blipFill>
                  <pic:spPr bwMode="auto">
                    <a:xfrm>
                      <a:off x="0" y="0"/>
                      <a:ext cx="6251974" cy="4343331"/>
                    </a:xfrm>
                    <a:prstGeom prst="rect">
                      <a:avLst/>
                    </a:prstGeom>
                    <a:noFill/>
                    <a:ln>
                      <a:noFill/>
                    </a:ln>
                    <a:extLst>
                      <a:ext uri="{53640926-AAD7-44D8-BBD7-CCE9431645EC}">
                        <a14:shadowObscured xmlns:a14="http://schemas.microsoft.com/office/drawing/2010/main"/>
                      </a:ext>
                    </a:extLst>
                  </pic:spPr>
                </pic:pic>
              </a:graphicData>
            </a:graphic>
          </wp:inline>
        </w:drawing>
      </w:r>
    </w:p>
    <w:p w14:paraId="51301A96" w14:textId="77777777" w:rsidR="00FE1EAB" w:rsidRDefault="00FE1EAB" w:rsidP="00FE1EAB">
      <w:pPr>
        <w:tabs>
          <w:tab w:val="left" w:pos="2506"/>
        </w:tabs>
        <w:spacing w:before="0"/>
      </w:pPr>
    </w:p>
    <w:p w14:paraId="3D78D983" w14:textId="77777777" w:rsidR="00FE1EAB" w:rsidRDefault="00FE1EAB" w:rsidP="00FE1EAB">
      <w:pPr>
        <w:tabs>
          <w:tab w:val="left" w:pos="2506"/>
        </w:tabs>
        <w:spacing w:before="0"/>
      </w:pPr>
    </w:p>
    <w:p w14:paraId="603D5B71" w14:textId="77777777" w:rsidR="00FE1EAB" w:rsidRDefault="00FE1EAB" w:rsidP="00FE1EAB">
      <w:pPr>
        <w:tabs>
          <w:tab w:val="left" w:pos="2506"/>
        </w:tabs>
        <w:spacing w:before="0"/>
      </w:pPr>
    </w:p>
    <w:p w14:paraId="2CE9EAA0" w14:textId="77777777" w:rsidR="00FE1EAB" w:rsidRDefault="00FE1EAB" w:rsidP="00FE1EAB">
      <w:pPr>
        <w:tabs>
          <w:tab w:val="left" w:pos="2506"/>
        </w:tabs>
        <w:spacing w:before="0"/>
      </w:pPr>
    </w:p>
    <w:p w14:paraId="24DAB72C" w14:textId="77777777" w:rsidR="00FE1EAB" w:rsidRDefault="00FE1EAB" w:rsidP="00FE1EAB">
      <w:pPr>
        <w:tabs>
          <w:tab w:val="left" w:pos="2506"/>
        </w:tabs>
        <w:spacing w:before="0"/>
      </w:pPr>
    </w:p>
    <w:p w14:paraId="75B1CB8D" w14:textId="77777777" w:rsidR="00FE1EAB" w:rsidRDefault="00FE1EAB" w:rsidP="00FE1EAB">
      <w:pPr>
        <w:tabs>
          <w:tab w:val="left" w:pos="2506"/>
        </w:tabs>
        <w:spacing w:before="0"/>
      </w:pPr>
    </w:p>
    <w:p w14:paraId="40DAE5BF" w14:textId="77777777" w:rsidR="00FE1EAB" w:rsidRDefault="00FE1EAB" w:rsidP="00FE1EAB">
      <w:pPr>
        <w:tabs>
          <w:tab w:val="left" w:pos="2506"/>
        </w:tabs>
        <w:spacing w:before="0"/>
      </w:pPr>
    </w:p>
    <w:p w14:paraId="28AC9E3D" w14:textId="77777777" w:rsidR="00FE1EAB" w:rsidRDefault="00FE1EAB" w:rsidP="00FE1EAB">
      <w:pPr>
        <w:tabs>
          <w:tab w:val="left" w:pos="2506"/>
        </w:tabs>
        <w:spacing w:before="0"/>
      </w:pPr>
    </w:p>
    <w:p w14:paraId="013F5970" w14:textId="77777777" w:rsidR="00FE1EAB" w:rsidRDefault="00FE1EAB" w:rsidP="00FE1EAB">
      <w:pPr>
        <w:tabs>
          <w:tab w:val="left" w:pos="2506"/>
        </w:tabs>
        <w:spacing w:before="0"/>
      </w:pPr>
    </w:p>
    <w:p w14:paraId="7656D7E7" w14:textId="77777777" w:rsidR="00FE1EAB" w:rsidRDefault="00FE1EAB" w:rsidP="00FE1EAB">
      <w:pPr>
        <w:tabs>
          <w:tab w:val="left" w:pos="2506"/>
        </w:tabs>
        <w:spacing w:before="0"/>
      </w:pPr>
    </w:p>
    <w:p w14:paraId="7CA5BE4A" w14:textId="77777777" w:rsidR="00FE1EAB" w:rsidRDefault="00FE1EAB" w:rsidP="00FE1EAB">
      <w:pPr>
        <w:tabs>
          <w:tab w:val="left" w:pos="2506"/>
        </w:tabs>
        <w:spacing w:before="0"/>
      </w:pPr>
    </w:p>
    <w:p w14:paraId="7D820E8C" w14:textId="77777777" w:rsidR="008A1FC0" w:rsidRDefault="008A1FC0" w:rsidP="00FE1EAB">
      <w:pPr>
        <w:tabs>
          <w:tab w:val="left" w:pos="2506"/>
        </w:tabs>
        <w:spacing w:before="0"/>
      </w:pPr>
    </w:p>
    <w:p w14:paraId="0174FFD5" w14:textId="77777777" w:rsidR="00FE1EAB" w:rsidRDefault="00FE1EAB" w:rsidP="00FE1EAB">
      <w:pPr>
        <w:tabs>
          <w:tab w:val="left" w:pos="2506"/>
        </w:tabs>
        <w:spacing w:before="0"/>
      </w:pPr>
    </w:p>
    <w:p w14:paraId="0087424F" w14:textId="77777777" w:rsidR="00FE1EAB" w:rsidRDefault="00FE1EAB" w:rsidP="00FE1EAB">
      <w:pPr>
        <w:tabs>
          <w:tab w:val="left" w:pos="2506"/>
        </w:tabs>
        <w:spacing w:before="0"/>
      </w:pPr>
    </w:p>
    <w:p w14:paraId="60077F74" w14:textId="1592E3CF" w:rsidR="00FE1EAB" w:rsidRDefault="00FE1EAB" w:rsidP="00FE1EAB">
      <w:pPr>
        <w:tabs>
          <w:tab w:val="left" w:pos="2506"/>
        </w:tabs>
        <w:spacing w:before="0"/>
      </w:pPr>
    </w:p>
    <w:p w14:paraId="3F3A487A" w14:textId="77777777" w:rsidR="00F5629C" w:rsidRDefault="00F5629C" w:rsidP="00FE1EAB">
      <w:pPr>
        <w:tabs>
          <w:tab w:val="left" w:pos="2506"/>
        </w:tabs>
        <w:spacing w:before="0"/>
      </w:pPr>
    </w:p>
    <w:p w14:paraId="1AB177AB" w14:textId="77777777" w:rsidR="00FD05CF" w:rsidRPr="009E196D" w:rsidRDefault="00FD05CF" w:rsidP="009D6B00">
      <w:pPr>
        <w:pStyle w:val="Heading2"/>
      </w:pPr>
      <w:bookmarkStart w:id="118" w:name="_Toc523402647"/>
      <w:bookmarkStart w:id="119" w:name="_Toc524519427"/>
      <w:r>
        <w:lastRenderedPageBreak/>
        <w:t>Independent Auditor’s report</w:t>
      </w:r>
      <w:bookmarkEnd w:id="118"/>
      <w:bookmarkEnd w:id="119"/>
      <w:r>
        <w:t xml:space="preserve"> </w:t>
      </w:r>
    </w:p>
    <w:p w14:paraId="2548A347" w14:textId="77777777" w:rsidR="008A1FC0" w:rsidRDefault="008A1FC0" w:rsidP="00C6033F">
      <w:pPr>
        <w:spacing w:before="0"/>
      </w:pPr>
    </w:p>
    <w:p w14:paraId="6EACB18F" w14:textId="77777777" w:rsidR="00932BCC" w:rsidRDefault="00932BCC" w:rsidP="00C6033F">
      <w:pPr>
        <w:spacing w:before="0"/>
      </w:pPr>
      <w:r>
        <w:rPr>
          <w:noProof/>
          <w:lang w:eastAsia="en-AU"/>
        </w:rPr>
        <w:drawing>
          <wp:inline distT="0" distB="0" distL="0" distR="0" wp14:anchorId="17D35606" wp14:editId="2197EB10">
            <wp:extent cx="6462346" cy="7752338"/>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0">
                      <a:extLst>
                        <a:ext uri="{28A0092B-C50C-407E-A947-70E740481C1C}">
                          <a14:useLocalDpi xmlns:a14="http://schemas.microsoft.com/office/drawing/2010/main" val="0"/>
                        </a:ext>
                      </a:extLst>
                    </a:blip>
                    <a:srcRect t="3768" b="11395"/>
                    <a:stretch/>
                  </pic:blipFill>
                  <pic:spPr bwMode="auto">
                    <a:xfrm>
                      <a:off x="0" y="0"/>
                      <a:ext cx="6511937" cy="7811829"/>
                    </a:xfrm>
                    <a:prstGeom prst="rect">
                      <a:avLst/>
                    </a:prstGeom>
                    <a:noFill/>
                    <a:ln>
                      <a:noFill/>
                    </a:ln>
                    <a:extLst>
                      <a:ext uri="{53640926-AAD7-44D8-BBD7-CCE9431645EC}">
                        <a14:shadowObscured xmlns:a14="http://schemas.microsoft.com/office/drawing/2010/main"/>
                      </a:ext>
                    </a:extLst>
                  </pic:spPr>
                </pic:pic>
              </a:graphicData>
            </a:graphic>
          </wp:inline>
        </w:drawing>
      </w:r>
    </w:p>
    <w:p w14:paraId="7224A1D3" w14:textId="77777777" w:rsidR="00932BCC" w:rsidRDefault="00932BCC" w:rsidP="00C6033F">
      <w:pPr>
        <w:spacing w:before="0"/>
      </w:pPr>
    </w:p>
    <w:p w14:paraId="026104A2" w14:textId="77777777" w:rsidR="00932BCC" w:rsidRDefault="00932BCC" w:rsidP="00C6033F">
      <w:pPr>
        <w:spacing w:before="0"/>
      </w:pPr>
      <w:r>
        <w:rPr>
          <w:noProof/>
          <w:lang w:eastAsia="en-AU"/>
        </w:rPr>
        <w:lastRenderedPageBreak/>
        <w:drawing>
          <wp:inline distT="0" distB="0" distL="0" distR="0" wp14:anchorId="5C219835" wp14:editId="0FD90977">
            <wp:extent cx="6435725" cy="8053754"/>
            <wp:effectExtent l="0" t="0" r="3175"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71">
                      <a:extLst>
                        <a:ext uri="{28A0092B-C50C-407E-A947-70E740481C1C}">
                          <a14:useLocalDpi xmlns:a14="http://schemas.microsoft.com/office/drawing/2010/main" val="0"/>
                        </a:ext>
                      </a:extLst>
                    </a:blip>
                    <a:srcRect b="11499"/>
                    <a:stretch/>
                  </pic:blipFill>
                  <pic:spPr bwMode="auto">
                    <a:xfrm>
                      <a:off x="0" y="0"/>
                      <a:ext cx="6435725" cy="8053754"/>
                    </a:xfrm>
                    <a:prstGeom prst="rect">
                      <a:avLst/>
                    </a:prstGeom>
                    <a:noFill/>
                    <a:ln>
                      <a:noFill/>
                    </a:ln>
                    <a:extLst>
                      <a:ext uri="{53640926-AAD7-44D8-BBD7-CCE9431645EC}">
                        <a14:shadowObscured xmlns:a14="http://schemas.microsoft.com/office/drawing/2010/main"/>
                      </a:ext>
                    </a:extLst>
                  </pic:spPr>
                </pic:pic>
              </a:graphicData>
            </a:graphic>
          </wp:inline>
        </w:drawing>
      </w:r>
    </w:p>
    <w:p w14:paraId="5EFB5A65" w14:textId="77777777" w:rsidR="009B6859" w:rsidRDefault="00932BCC" w:rsidP="00C6033F">
      <w:pPr>
        <w:spacing w:before="0"/>
      </w:pPr>
      <w:r>
        <w:rPr>
          <w:noProof/>
          <w:lang w:eastAsia="en-AU"/>
        </w:rPr>
        <w:lastRenderedPageBreak/>
        <w:drawing>
          <wp:inline distT="0" distB="0" distL="0" distR="0" wp14:anchorId="144CD667" wp14:editId="62C9DB6C">
            <wp:extent cx="6435725" cy="9100185"/>
            <wp:effectExtent l="0" t="0" r="3175"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35725" cy="9100185"/>
                    </a:xfrm>
                    <a:prstGeom prst="rect">
                      <a:avLst/>
                    </a:prstGeom>
                    <a:noFill/>
                    <a:ln>
                      <a:noFill/>
                    </a:ln>
                  </pic:spPr>
                </pic:pic>
              </a:graphicData>
            </a:graphic>
          </wp:inline>
        </w:drawing>
      </w:r>
      <w:r w:rsidR="009B6859" w:rsidRPr="008A1FC0">
        <w:br w:type="page"/>
      </w:r>
    </w:p>
    <w:p w14:paraId="6BC7C097" w14:textId="77777777" w:rsidR="007621B8" w:rsidRPr="00341581" w:rsidRDefault="00B2375C" w:rsidP="00D77F80">
      <w:pPr>
        <w:pStyle w:val="Heading1"/>
        <w:ind w:left="0" w:right="77"/>
      </w:pPr>
      <w:bookmarkStart w:id="120" w:name="_Toc522266485"/>
      <w:bookmarkStart w:id="121" w:name="_Toc524519428"/>
      <w:bookmarkEnd w:id="104"/>
      <w:r w:rsidRPr="00341581">
        <w:lastRenderedPageBreak/>
        <w:t>A</w:t>
      </w:r>
      <w:r>
        <w:t>ppendices</w:t>
      </w:r>
      <w:bookmarkEnd w:id="120"/>
      <w:bookmarkEnd w:id="121"/>
    </w:p>
    <w:p w14:paraId="693440E9" w14:textId="77777777" w:rsidR="0015651E" w:rsidRPr="009E196D" w:rsidRDefault="0015651E" w:rsidP="009D6B00">
      <w:pPr>
        <w:pStyle w:val="Heading2"/>
      </w:pPr>
      <w:bookmarkStart w:id="122" w:name="_Toc524519429"/>
      <w:r>
        <w:t>Acronyms</w:t>
      </w:r>
      <w:bookmarkEnd w:id="122"/>
      <w:r>
        <w:t xml:space="preserve"> </w:t>
      </w:r>
    </w:p>
    <w:tbl>
      <w:tblPr>
        <w:tblStyle w:val="TableGrid"/>
        <w:tblW w:w="1034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5"/>
        <w:gridCol w:w="3685"/>
        <w:gridCol w:w="353"/>
        <w:gridCol w:w="1065"/>
        <w:gridCol w:w="4111"/>
      </w:tblGrid>
      <w:tr w:rsidR="00A24190" w:rsidRPr="00A13210" w14:paraId="309E3643" w14:textId="77777777" w:rsidTr="00E917DE">
        <w:tc>
          <w:tcPr>
            <w:tcW w:w="1135" w:type="dxa"/>
            <w:shd w:val="clear" w:color="auto" w:fill="FEDADD" w:themeFill="accent5"/>
            <w:vAlign w:val="center"/>
          </w:tcPr>
          <w:p w14:paraId="14AB25C1" w14:textId="77777777" w:rsidR="00A24190" w:rsidRPr="001938B2" w:rsidRDefault="0072333D" w:rsidP="00A24190">
            <w:pPr>
              <w:spacing w:line="276" w:lineRule="auto"/>
            </w:pPr>
            <w:r>
              <w:t>AEDP</w:t>
            </w:r>
          </w:p>
        </w:tc>
        <w:tc>
          <w:tcPr>
            <w:tcW w:w="3685" w:type="dxa"/>
            <w:shd w:val="clear" w:color="auto" w:fill="FEDADD" w:themeFill="accent5"/>
            <w:vAlign w:val="center"/>
          </w:tcPr>
          <w:p w14:paraId="04D4214D" w14:textId="77777777" w:rsidR="00A24190" w:rsidRPr="001938B2" w:rsidRDefault="0072333D" w:rsidP="00A24190">
            <w:pPr>
              <w:spacing w:line="276" w:lineRule="auto"/>
            </w:pPr>
            <w:r>
              <w:t xml:space="preserve">Assurance and Excellence Development Program </w:t>
            </w:r>
          </w:p>
        </w:tc>
        <w:tc>
          <w:tcPr>
            <w:tcW w:w="353" w:type="dxa"/>
            <w:shd w:val="clear" w:color="auto" w:fill="FEDADD" w:themeFill="accent5"/>
          </w:tcPr>
          <w:p w14:paraId="590E45B0" w14:textId="77777777" w:rsidR="00A24190" w:rsidRPr="001938B2" w:rsidRDefault="00A24190" w:rsidP="00A24190">
            <w:pPr>
              <w:spacing w:after="120" w:line="276" w:lineRule="auto"/>
            </w:pPr>
          </w:p>
        </w:tc>
        <w:tc>
          <w:tcPr>
            <w:tcW w:w="1065" w:type="dxa"/>
            <w:shd w:val="clear" w:color="auto" w:fill="FEDADD" w:themeFill="accent5"/>
            <w:vAlign w:val="center"/>
          </w:tcPr>
          <w:p w14:paraId="13944C0E" w14:textId="77777777" w:rsidR="00A24190" w:rsidRPr="001938B2" w:rsidRDefault="0003098A" w:rsidP="00A24190">
            <w:pPr>
              <w:spacing w:line="276" w:lineRule="auto"/>
            </w:pPr>
            <w:r>
              <w:t>EAP</w:t>
            </w:r>
          </w:p>
        </w:tc>
        <w:tc>
          <w:tcPr>
            <w:tcW w:w="4111" w:type="dxa"/>
            <w:shd w:val="clear" w:color="auto" w:fill="FEDADD" w:themeFill="accent5"/>
            <w:vAlign w:val="center"/>
          </w:tcPr>
          <w:p w14:paraId="3B3663C4" w14:textId="77777777" w:rsidR="00A24190" w:rsidRPr="001938B2" w:rsidRDefault="0003098A" w:rsidP="00A24190">
            <w:pPr>
              <w:spacing w:line="276" w:lineRule="auto"/>
            </w:pPr>
            <w:r>
              <w:t>Employee Assistance Program</w:t>
            </w:r>
          </w:p>
        </w:tc>
      </w:tr>
      <w:tr w:rsidR="0072333D" w:rsidRPr="00A13210" w14:paraId="13BFF625" w14:textId="77777777" w:rsidTr="00E917DE">
        <w:tc>
          <w:tcPr>
            <w:tcW w:w="1135" w:type="dxa"/>
            <w:shd w:val="clear" w:color="auto" w:fill="auto"/>
            <w:vAlign w:val="center"/>
          </w:tcPr>
          <w:p w14:paraId="40947CEF" w14:textId="77777777" w:rsidR="0072333D" w:rsidRPr="00570777" w:rsidRDefault="0072333D" w:rsidP="0072333D">
            <w:pPr>
              <w:spacing w:line="276" w:lineRule="auto"/>
            </w:pPr>
            <w:r>
              <w:t>AFAC</w:t>
            </w:r>
          </w:p>
        </w:tc>
        <w:tc>
          <w:tcPr>
            <w:tcW w:w="3685" w:type="dxa"/>
            <w:shd w:val="clear" w:color="auto" w:fill="auto"/>
            <w:vAlign w:val="center"/>
          </w:tcPr>
          <w:p w14:paraId="1B89B970" w14:textId="77777777" w:rsidR="0072333D" w:rsidRPr="00570777" w:rsidRDefault="0072333D" w:rsidP="0072333D">
            <w:pPr>
              <w:spacing w:line="276" w:lineRule="auto"/>
            </w:pPr>
            <w:r>
              <w:t>Australasian Fire and Emergency Services Authorities Council</w:t>
            </w:r>
          </w:p>
        </w:tc>
        <w:tc>
          <w:tcPr>
            <w:tcW w:w="353" w:type="dxa"/>
            <w:shd w:val="clear" w:color="auto" w:fill="auto"/>
          </w:tcPr>
          <w:p w14:paraId="0D9BC4A6" w14:textId="77777777" w:rsidR="0072333D" w:rsidRPr="001938B2" w:rsidRDefault="0072333D" w:rsidP="0072333D">
            <w:pPr>
              <w:spacing w:line="276" w:lineRule="auto"/>
            </w:pPr>
          </w:p>
        </w:tc>
        <w:tc>
          <w:tcPr>
            <w:tcW w:w="1065" w:type="dxa"/>
            <w:shd w:val="clear" w:color="auto" w:fill="auto"/>
            <w:vAlign w:val="center"/>
          </w:tcPr>
          <w:p w14:paraId="2BD3C84E" w14:textId="77777777" w:rsidR="0072333D" w:rsidRPr="00570777" w:rsidRDefault="0003098A" w:rsidP="0072333D">
            <w:pPr>
              <w:spacing w:line="276" w:lineRule="auto"/>
            </w:pPr>
            <w:r>
              <w:t>EMAF</w:t>
            </w:r>
          </w:p>
        </w:tc>
        <w:tc>
          <w:tcPr>
            <w:tcW w:w="4111" w:type="dxa"/>
            <w:shd w:val="clear" w:color="auto" w:fill="auto"/>
            <w:vAlign w:val="center"/>
          </w:tcPr>
          <w:p w14:paraId="76B8346B" w14:textId="77777777" w:rsidR="0072333D" w:rsidRPr="0003098A" w:rsidRDefault="0003098A" w:rsidP="0072333D">
            <w:pPr>
              <w:spacing w:line="276" w:lineRule="auto"/>
              <w:rPr>
                <w:i/>
              </w:rPr>
            </w:pPr>
            <w:r>
              <w:t>Emergency Management Assurance Framework</w:t>
            </w:r>
          </w:p>
        </w:tc>
      </w:tr>
      <w:tr w:rsidR="0003098A" w:rsidRPr="00A13210" w14:paraId="05DE71CB" w14:textId="77777777" w:rsidTr="00E917DE">
        <w:tc>
          <w:tcPr>
            <w:tcW w:w="1135" w:type="dxa"/>
            <w:shd w:val="clear" w:color="auto" w:fill="FEDADD" w:themeFill="accent5"/>
            <w:vAlign w:val="center"/>
          </w:tcPr>
          <w:p w14:paraId="465293ED" w14:textId="77777777" w:rsidR="0003098A" w:rsidRPr="007B7AC6" w:rsidRDefault="0003098A" w:rsidP="0003098A">
            <w:pPr>
              <w:spacing w:line="276" w:lineRule="auto"/>
            </w:pPr>
            <w:r w:rsidRPr="007B7AC6">
              <w:t>AFSM</w:t>
            </w:r>
          </w:p>
        </w:tc>
        <w:tc>
          <w:tcPr>
            <w:tcW w:w="3685" w:type="dxa"/>
            <w:shd w:val="clear" w:color="auto" w:fill="FEDADD" w:themeFill="accent5"/>
            <w:vAlign w:val="center"/>
          </w:tcPr>
          <w:p w14:paraId="6901C48F" w14:textId="77777777" w:rsidR="0003098A" w:rsidRPr="007B7AC6" w:rsidRDefault="0003098A" w:rsidP="0003098A">
            <w:pPr>
              <w:spacing w:line="276" w:lineRule="auto"/>
            </w:pPr>
            <w:r w:rsidRPr="007B7AC6">
              <w:t>Australian Fire Service Medal</w:t>
            </w:r>
          </w:p>
        </w:tc>
        <w:tc>
          <w:tcPr>
            <w:tcW w:w="353" w:type="dxa"/>
            <w:shd w:val="clear" w:color="auto" w:fill="FEDADD" w:themeFill="accent5"/>
          </w:tcPr>
          <w:p w14:paraId="03DE9D83" w14:textId="77777777" w:rsidR="0003098A" w:rsidRPr="001938B2" w:rsidRDefault="0003098A" w:rsidP="0003098A">
            <w:pPr>
              <w:spacing w:line="276" w:lineRule="auto"/>
            </w:pPr>
          </w:p>
        </w:tc>
        <w:tc>
          <w:tcPr>
            <w:tcW w:w="1065" w:type="dxa"/>
            <w:shd w:val="clear" w:color="auto" w:fill="FEDADD" w:themeFill="accent5"/>
            <w:vAlign w:val="center"/>
          </w:tcPr>
          <w:p w14:paraId="0E4D4BDD" w14:textId="77777777" w:rsidR="0003098A" w:rsidRPr="00570777" w:rsidRDefault="0003098A" w:rsidP="0003098A">
            <w:pPr>
              <w:spacing w:line="276" w:lineRule="auto"/>
            </w:pPr>
            <w:r w:rsidRPr="00570777">
              <w:t>E</w:t>
            </w:r>
            <w:r>
              <w:t>MC</w:t>
            </w:r>
          </w:p>
        </w:tc>
        <w:tc>
          <w:tcPr>
            <w:tcW w:w="4111" w:type="dxa"/>
            <w:shd w:val="clear" w:color="auto" w:fill="FEDADD" w:themeFill="accent5"/>
            <w:vAlign w:val="center"/>
          </w:tcPr>
          <w:p w14:paraId="46640346" w14:textId="77777777" w:rsidR="0003098A" w:rsidRPr="00570777" w:rsidRDefault="0003098A" w:rsidP="0003098A">
            <w:pPr>
              <w:spacing w:line="276" w:lineRule="auto"/>
            </w:pPr>
            <w:r w:rsidRPr="00570777">
              <w:t xml:space="preserve">Executive </w:t>
            </w:r>
            <w:r>
              <w:t>Management Committee</w:t>
            </w:r>
          </w:p>
        </w:tc>
      </w:tr>
      <w:tr w:rsidR="0003098A" w:rsidRPr="00A13210" w14:paraId="56D1E3FC" w14:textId="77777777" w:rsidTr="00E917DE">
        <w:tc>
          <w:tcPr>
            <w:tcW w:w="1135" w:type="dxa"/>
            <w:shd w:val="clear" w:color="auto" w:fill="auto"/>
            <w:vAlign w:val="center"/>
          </w:tcPr>
          <w:p w14:paraId="41C038A9" w14:textId="77777777" w:rsidR="0003098A" w:rsidRPr="001938B2" w:rsidRDefault="0003098A" w:rsidP="0003098A">
            <w:pPr>
              <w:spacing w:after="120" w:line="276" w:lineRule="auto"/>
            </w:pPr>
            <w:r>
              <w:t>APM</w:t>
            </w:r>
          </w:p>
        </w:tc>
        <w:tc>
          <w:tcPr>
            <w:tcW w:w="3685" w:type="dxa"/>
            <w:shd w:val="clear" w:color="auto" w:fill="auto"/>
            <w:vAlign w:val="center"/>
          </w:tcPr>
          <w:p w14:paraId="064A82EA" w14:textId="77777777" w:rsidR="0003098A" w:rsidRPr="001938B2" w:rsidRDefault="0003098A" w:rsidP="0003098A">
            <w:pPr>
              <w:spacing w:line="276" w:lineRule="auto"/>
            </w:pPr>
            <w:r>
              <w:t>Australian Police Medal</w:t>
            </w:r>
          </w:p>
        </w:tc>
        <w:tc>
          <w:tcPr>
            <w:tcW w:w="353" w:type="dxa"/>
            <w:shd w:val="clear" w:color="auto" w:fill="auto"/>
          </w:tcPr>
          <w:p w14:paraId="738D047A" w14:textId="77777777" w:rsidR="0003098A" w:rsidRPr="001938B2" w:rsidRDefault="0003098A" w:rsidP="0003098A">
            <w:pPr>
              <w:spacing w:line="276" w:lineRule="auto"/>
            </w:pPr>
          </w:p>
        </w:tc>
        <w:tc>
          <w:tcPr>
            <w:tcW w:w="1065" w:type="dxa"/>
            <w:shd w:val="clear" w:color="auto" w:fill="auto"/>
            <w:vAlign w:val="center"/>
          </w:tcPr>
          <w:p w14:paraId="03F1A260" w14:textId="77777777" w:rsidR="0003098A" w:rsidRPr="001938B2" w:rsidRDefault="0003098A" w:rsidP="0003098A">
            <w:pPr>
              <w:spacing w:line="276" w:lineRule="auto"/>
            </w:pPr>
            <w:r>
              <w:t>FTE</w:t>
            </w:r>
          </w:p>
        </w:tc>
        <w:tc>
          <w:tcPr>
            <w:tcW w:w="4111" w:type="dxa"/>
            <w:shd w:val="clear" w:color="auto" w:fill="auto"/>
            <w:vAlign w:val="center"/>
          </w:tcPr>
          <w:p w14:paraId="67EEFFA2" w14:textId="77777777" w:rsidR="0003098A" w:rsidRPr="001938B2" w:rsidRDefault="0003098A" w:rsidP="0003098A">
            <w:pPr>
              <w:spacing w:line="276" w:lineRule="auto"/>
            </w:pPr>
            <w:r>
              <w:t xml:space="preserve">Full Time Equivalent </w:t>
            </w:r>
          </w:p>
        </w:tc>
      </w:tr>
      <w:tr w:rsidR="0003098A" w:rsidRPr="000D4EF7" w14:paraId="7279E124" w14:textId="77777777" w:rsidTr="00E917DE">
        <w:tc>
          <w:tcPr>
            <w:tcW w:w="1135" w:type="dxa"/>
            <w:shd w:val="clear" w:color="auto" w:fill="FEDADD" w:themeFill="accent5"/>
            <w:vAlign w:val="center"/>
          </w:tcPr>
          <w:p w14:paraId="4D24173C" w14:textId="77777777" w:rsidR="0003098A" w:rsidRPr="001938B2" w:rsidRDefault="0003098A" w:rsidP="0003098A">
            <w:pPr>
              <w:spacing w:line="276" w:lineRule="auto"/>
            </w:pPr>
            <w:r w:rsidRPr="00570777">
              <w:t>ARC</w:t>
            </w:r>
          </w:p>
        </w:tc>
        <w:tc>
          <w:tcPr>
            <w:tcW w:w="3685" w:type="dxa"/>
            <w:shd w:val="clear" w:color="auto" w:fill="FEDADD" w:themeFill="accent5"/>
            <w:vAlign w:val="center"/>
          </w:tcPr>
          <w:p w14:paraId="7C9C26B8" w14:textId="77777777" w:rsidR="0003098A" w:rsidRPr="001938B2" w:rsidRDefault="0003098A" w:rsidP="0003098A">
            <w:pPr>
              <w:pStyle w:val="BodyText"/>
            </w:pPr>
            <w:r w:rsidRPr="00570777">
              <w:t>Audit and Risk Committee</w:t>
            </w:r>
          </w:p>
        </w:tc>
        <w:tc>
          <w:tcPr>
            <w:tcW w:w="353" w:type="dxa"/>
            <w:shd w:val="clear" w:color="auto" w:fill="FEDADD" w:themeFill="accent5"/>
          </w:tcPr>
          <w:p w14:paraId="0D865D74" w14:textId="77777777" w:rsidR="0003098A" w:rsidRPr="001938B2" w:rsidRDefault="0003098A" w:rsidP="0003098A">
            <w:pPr>
              <w:spacing w:line="276" w:lineRule="auto"/>
            </w:pPr>
          </w:p>
        </w:tc>
        <w:tc>
          <w:tcPr>
            <w:tcW w:w="1065" w:type="dxa"/>
            <w:shd w:val="clear" w:color="auto" w:fill="FEDADD" w:themeFill="accent5"/>
            <w:vAlign w:val="center"/>
          </w:tcPr>
          <w:p w14:paraId="76BBE150" w14:textId="77777777" w:rsidR="0003098A" w:rsidRPr="001938B2" w:rsidRDefault="0003098A" w:rsidP="0003098A">
            <w:pPr>
              <w:spacing w:after="120" w:line="276" w:lineRule="auto"/>
            </w:pPr>
            <w:r>
              <w:t>FPMS</w:t>
            </w:r>
          </w:p>
        </w:tc>
        <w:tc>
          <w:tcPr>
            <w:tcW w:w="4111" w:type="dxa"/>
            <w:shd w:val="clear" w:color="auto" w:fill="FEDADD" w:themeFill="accent5"/>
            <w:vAlign w:val="center"/>
          </w:tcPr>
          <w:p w14:paraId="20BFA06B" w14:textId="77777777" w:rsidR="0003098A" w:rsidRPr="001938B2" w:rsidRDefault="0003098A" w:rsidP="0003098A">
            <w:pPr>
              <w:spacing w:after="120" w:line="276" w:lineRule="auto"/>
            </w:pPr>
            <w:r w:rsidRPr="0003098A">
              <w:rPr>
                <w:i/>
              </w:rPr>
              <w:t xml:space="preserve">Financial and Performance Management Standard 2009 </w:t>
            </w:r>
          </w:p>
        </w:tc>
      </w:tr>
      <w:tr w:rsidR="0003098A" w:rsidRPr="00A13210" w14:paraId="15709590" w14:textId="77777777" w:rsidTr="00E917DE">
        <w:tc>
          <w:tcPr>
            <w:tcW w:w="1135" w:type="dxa"/>
            <w:shd w:val="clear" w:color="auto" w:fill="auto"/>
            <w:vAlign w:val="center"/>
          </w:tcPr>
          <w:p w14:paraId="48BF0BBA" w14:textId="77777777" w:rsidR="0003098A" w:rsidRPr="006B3DF9" w:rsidRDefault="0003098A" w:rsidP="0003098A">
            <w:pPr>
              <w:spacing w:line="276" w:lineRule="auto"/>
              <w:rPr>
                <w:sz w:val="20"/>
              </w:rPr>
            </w:pPr>
            <w:r w:rsidRPr="00570777">
              <w:t>ARRs</w:t>
            </w:r>
          </w:p>
        </w:tc>
        <w:tc>
          <w:tcPr>
            <w:tcW w:w="3685" w:type="dxa"/>
            <w:shd w:val="clear" w:color="auto" w:fill="auto"/>
            <w:vAlign w:val="center"/>
          </w:tcPr>
          <w:p w14:paraId="6431BCE7" w14:textId="77777777" w:rsidR="0003098A" w:rsidRPr="001938B2" w:rsidRDefault="0003098A" w:rsidP="0003098A">
            <w:pPr>
              <w:pStyle w:val="BodyText"/>
            </w:pPr>
            <w:r w:rsidRPr="00570777">
              <w:t>Annual report requirements for Queensland Government agencies</w:t>
            </w:r>
          </w:p>
        </w:tc>
        <w:tc>
          <w:tcPr>
            <w:tcW w:w="353" w:type="dxa"/>
            <w:shd w:val="clear" w:color="auto" w:fill="auto"/>
          </w:tcPr>
          <w:p w14:paraId="6328DE0E" w14:textId="77777777" w:rsidR="0003098A" w:rsidRPr="001938B2" w:rsidRDefault="0003098A" w:rsidP="0003098A">
            <w:pPr>
              <w:spacing w:line="276" w:lineRule="auto"/>
            </w:pPr>
          </w:p>
        </w:tc>
        <w:tc>
          <w:tcPr>
            <w:tcW w:w="1065" w:type="dxa"/>
            <w:shd w:val="clear" w:color="auto" w:fill="auto"/>
            <w:vAlign w:val="center"/>
          </w:tcPr>
          <w:p w14:paraId="31DBADC2" w14:textId="77777777" w:rsidR="0003098A" w:rsidRPr="001938B2" w:rsidRDefault="0003098A" w:rsidP="0003098A">
            <w:pPr>
              <w:spacing w:after="120" w:line="276" w:lineRule="auto"/>
            </w:pPr>
            <w:r w:rsidRPr="00570777">
              <w:t>HR</w:t>
            </w:r>
          </w:p>
        </w:tc>
        <w:tc>
          <w:tcPr>
            <w:tcW w:w="4111" w:type="dxa"/>
            <w:shd w:val="clear" w:color="auto" w:fill="auto"/>
            <w:vAlign w:val="center"/>
          </w:tcPr>
          <w:p w14:paraId="53A5A9D1" w14:textId="77777777" w:rsidR="0003098A" w:rsidRPr="001938B2" w:rsidRDefault="0003098A" w:rsidP="0003098A">
            <w:pPr>
              <w:spacing w:after="120" w:line="276" w:lineRule="auto"/>
            </w:pPr>
            <w:r w:rsidRPr="00570777">
              <w:t>Human Resources</w:t>
            </w:r>
          </w:p>
        </w:tc>
      </w:tr>
      <w:tr w:rsidR="0003098A" w:rsidRPr="00A13210" w14:paraId="6474756B" w14:textId="77777777" w:rsidTr="00E917DE">
        <w:tc>
          <w:tcPr>
            <w:tcW w:w="1135" w:type="dxa"/>
            <w:shd w:val="clear" w:color="auto" w:fill="FEDADD" w:themeFill="accent5"/>
            <w:vAlign w:val="center"/>
          </w:tcPr>
          <w:p w14:paraId="1B26789A" w14:textId="12B7B339" w:rsidR="0003098A" w:rsidRPr="001938B2" w:rsidRDefault="0003098A" w:rsidP="0003098A">
            <w:pPr>
              <w:spacing w:line="276" w:lineRule="auto"/>
            </w:pPr>
            <w:r w:rsidRPr="006B3DF9">
              <w:rPr>
                <w:sz w:val="20"/>
              </w:rPr>
              <w:t>BNHCRC</w:t>
            </w:r>
          </w:p>
        </w:tc>
        <w:tc>
          <w:tcPr>
            <w:tcW w:w="3685" w:type="dxa"/>
            <w:shd w:val="clear" w:color="auto" w:fill="FEDADD" w:themeFill="accent5"/>
            <w:vAlign w:val="center"/>
          </w:tcPr>
          <w:p w14:paraId="2DED63C5" w14:textId="45F63E10" w:rsidR="0003098A" w:rsidRPr="001938B2" w:rsidRDefault="0003098A" w:rsidP="0003098A">
            <w:pPr>
              <w:pStyle w:val="BodyText"/>
            </w:pPr>
            <w:r>
              <w:t>Bushfire and Natural Hazards Cooperative Research Centre</w:t>
            </w:r>
          </w:p>
        </w:tc>
        <w:tc>
          <w:tcPr>
            <w:tcW w:w="353" w:type="dxa"/>
            <w:shd w:val="clear" w:color="auto" w:fill="FEDADD" w:themeFill="accent5"/>
          </w:tcPr>
          <w:p w14:paraId="07193C69" w14:textId="77777777" w:rsidR="0003098A" w:rsidRPr="001938B2" w:rsidRDefault="0003098A" w:rsidP="0003098A">
            <w:pPr>
              <w:spacing w:line="276" w:lineRule="auto"/>
            </w:pPr>
          </w:p>
        </w:tc>
        <w:tc>
          <w:tcPr>
            <w:tcW w:w="1065" w:type="dxa"/>
            <w:shd w:val="clear" w:color="auto" w:fill="FEDADD" w:themeFill="accent5"/>
            <w:vAlign w:val="center"/>
          </w:tcPr>
          <w:p w14:paraId="6E2F3254" w14:textId="77777777" w:rsidR="0003098A" w:rsidRPr="00E33AFB" w:rsidRDefault="0003098A" w:rsidP="0003098A">
            <w:pPr>
              <w:spacing w:after="120" w:line="276" w:lineRule="auto"/>
            </w:pPr>
            <w:r w:rsidRPr="00570777">
              <w:t>IGEM</w:t>
            </w:r>
          </w:p>
        </w:tc>
        <w:tc>
          <w:tcPr>
            <w:tcW w:w="4111" w:type="dxa"/>
            <w:shd w:val="clear" w:color="auto" w:fill="FEDADD" w:themeFill="accent5"/>
            <w:vAlign w:val="center"/>
          </w:tcPr>
          <w:p w14:paraId="23AAA479" w14:textId="77777777" w:rsidR="0003098A" w:rsidRPr="00F954FA" w:rsidRDefault="0003098A" w:rsidP="0003098A">
            <w:pPr>
              <w:spacing w:after="120" w:line="276" w:lineRule="auto"/>
            </w:pPr>
            <w:r w:rsidRPr="00570777">
              <w:t>Inspector-General Emergency Management</w:t>
            </w:r>
          </w:p>
        </w:tc>
      </w:tr>
      <w:tr w:rsidR="0003098A" w:rsidRPr="00A13210" w14:paraId="387E9CF3" w14:textId="77777777" w:rsidTr="00E917DE">
        <w:tc>
          <w:tcPr>
            <w:tcW w:w="1135" w:type="dxa"/>
            <w:shd w:val="clear" w:color="auto" w:fill="auto"/>
            <w:vAlign w:val="center"/>
          </w:tcPr>
          <w:p w14:paraId="62C9844D" w14:textId="77777777" w:rsidR="0003098A" w:rsidRPr="001938B2" w:rsidRDefault="0003098A" w:rsidP="0003098A">
            <w:pPr>
              <w:spacing w:after="120" w:line="276" w:lineRule="auto"/>
            </w:pPr>
            <w:r>
              <w:t>CaPE</w:t>
            </w:r>
          </w:p>
        </w:tc>
        <w:tc>
          <w:tcPr>
            <w:tcW w:w="3685" w:type="dxa"/>
            <w:shd w:val="clear" w:color="auto" w:fill="auto"/>
            <w:vAlign w:val="center"/>
          </w:tcPr>
          <w:p w14:paraId="67E57688" w14:textId="77777777" w:rsidR="0003098A" w:rsidRPr="001938B2" w:rsidRDefault="0003098A" w:rsidP="0003098A">
            <w:pPr>
              <w:pStyle w:val="BodyText"/>
            </w:pPr>
            <w:r>
              <w:t>Conduct and Performance Excellence</w:t>
            </w:r>
          </w:p>
        </w:tc>
        <w:tc>
          <w:tcPr>
            <w:tcW w:w="353" w:type="dxa"/>
            <w:shd w:val="clear" w:color="auto" w:fill="auto"/>
          </w:tcPr>
          <w:p w14:paraId="69012335" w14:textId="77777777" w:rsidR="0003098A" w:rsidRPr="001938B2" w:rsidRDefault="0003098A" w:rsidP="0003098A">
            <w:pPr>
              <w:spacing w:after="120" w:line="276" w:lineRule="auto"/>
            </w:pPr>
          </w:p>
        </w:tc>
        <w:tc>
          <w:tcPr>
            <w:tcW w:w="1065" w:type="dxa"/>
            <w:shd w:val="clear" w:color="auto" w:fill="auto"/>
            <w:vAlign w:val="center"/>
          </w:tcPr>
          <w:p w14:paraId="6BB0A65B" w14:textId="77777777" w:rsidR="0003098A" w:rsidRPr="00F954FA" w:rsidRDefault="0003098A" w:rsidP="0003098A">
            <w:pPr>
              <w:spacing w:line="276" w:lineRule="auto"/>
            </w:pPr>
            <w:r>
              <w:t>IWD</w:t>
            </w:r>
          </w:p>
        </w:tc>
        <w:tc>
          <w:tcPr>
            <w:tcW w:w="4111" w:type="dxa"/>
            <w:shd w:val="clear" w:color="auto" w:fill="auto"/>
            <w:vAlign w:val="center"/>
          </w:tcPr>
          <w:p w14:paraId="72EAE5CB" w14:textId="77777777" w:rsidR="0003098A" w:rsidRPr="00F954FA" w:rsidRDefault="0003098A" w:rsidP="0003098A">
            <w:pPr>
              <w:spacing w:line="276" w:lineRule="auto"/>
            </w:pPr>
            <w:r>
              <w:t>International Womens Day</w:t>
            </w:r>
          </w:p>
        </w:tc>
      </w:tr>
      <w:tr w:rsidR="0003098A" w:rsidRPr="00A13210" w14:paraId="0CF3AF4B" w14:textId="77777777" w:rsidTr="00E917DE">
        <w:tc>
          <w:tcPr>
            <w:tcW w:w="1135" w:type="dxa"/>
            <w:shd w:val="clear" w:color="auto" w:fill="FEDADD" w:themeFill="accent5"/>
            <w:vAlign w:val="center"/>
          </w:tcPr>
          <w:p w14:paraId="6C57E806" w14:textId="77777777" w:rsidR="0003098A" w:rsidRPr="001938B2" w:rsidRDefault="0003098A" w:rsidP="0003098A">
            <w:pPr>
              <w:spacing w:after="120" w:line="276" w:lineRule="auto"/>
            </w:pPr>
            <w:r w:rsidRPr="00570777">
              <w:t>CCC</w:t>
            </w:r>
          </w:p>
        </w:tc>
        <w:tc>
          <w:tcPr>
            <w:tcW w:w="3685" w:type="dxa"/>
            <w:shd w:val="clear" w:color="auto" w:fill="FEDADD" w:themeFill="accent5"/>
            <w:vAlign w:val="center"/>
          </w:tcPr>
          <w:p w14:paraId="036D0E8B" w14:textId="77777777" w:rsidR="0003098A" w:rsidRPr="001938B2" w:rsidRDefault="0003098A" w:rsidP="0003098A">
            <w:pPr>
              <w:spacing w:line="276" w:lineRule="auto"/>
            </w:pPr>
            <w:r w:rsidRPr="00570777">
              <w:t>Crime and Corruption Commission</w:t>
            </w:r>
          </w:p>
        </w:tc>
        <w:tc>
          <w:tcPr>
            <w:tcW w:w="353" w:type="dxa"/>
            <w:shd w:val="clear" w:color="auto" w:fill="FEDADD" w:themeFill="accent5"/>
          </w:tcPr>
          <w:p w14:paraId="09D38E64" w14:textId="77777777" w:rsidR="0003098A" w:rsidRPr="001938B2" w:rsidRDefault="0003098A" w:rsidP="0003098A">
            <w:pPr>
              <w:spacing w:after="200" w:line="276" w:lineRule="auto"/>
            </w:pPr>
          </w:p>
        </w:tc>
        <w:tc>
          <w:tcPr>
            <w:tcW w:w="1065" w:type="dxa"/>
            <w:shd w:val="clear" w:color="auto" w:fill="FEDADD" w:themeFill="accent5"/>
            <w:vAlign w:val="center"/>
          </w:tcPr>
          <w:p w14:paraId="140A4608" w14:textId="77777777" w:rsidR="0003098A" w:rsidRPr="00E33AFB" w:rsidRDefault="0003098A" w:rsidP="0003098A">
            <w:pPr>
              <w:spacing w:after="120" w:line="276" w:lineRule="auto"/>
            </w:pPr>
            <w:r>
              <w:t>LGAQ</w:t>
            </w:r>
          </w:p>
        </w:tc>
        <w:tc>
          <w:tcPr>
            <w:tcW w:w="4111" w:type="dxa"/>
            <w:shd w:val="clear" w:color="auto" w:fill="FEDADD" w:themeFill="accent5"/>
            <w:vAlign w:val="center"/>
          </w:tcPr>
          <w:p w14:paraId="692D611E" w14:textId="77777777" w:rsidR="0003098A" w:rsidRPr="00E33AFB" w:rsidRDefault="0003098A" w:rsidP="0003098A">
            <w:pPr>
              <w:spacing w:after="120" w:line="276" w:lineRule="auto"/>
            </w:pPr>
            <w:r>
              <w:t xml:space="preserve">Local Government Association of Queensland </w:t>
            </w:r>
          </w:p>
        </w:tc>
      </w:tr>
      <w:tr w:rsidR="0003098A" w:rsidRPr="00A13210" w14:paraId="39B3CCC7" w14:textId="77777777" w:rsidTr="00E917DE">
        <w:tc>
          <w:tcPr>
            <w:tcW w:w="1135" w:type="dxa"/>
            <w:shd w:val="clear" w:color="auto" w:fill="auto"/>
            <w:vAlign w:val="center"/>
          </w:tcPr>
          <w:p w14:paraId="7B98793B" w14:textId="77FA46E4" w:rsidR="0003098A" w:rsidRPr="007B7AC6" w:rsidRDefault="0003098A" w:rsidP="0003098A">
            <w:pPr>
              <w:spacing w:line="276" w:lineRule="auto"/>
            </w:pPr>
            <w:r>
              <w:t>COTA</w:t>
            </w:r>
          </w:p>
        </w:tc>
        <w:tc>
          <w:tcPr>
            <w:tcW w:w="3685" w:type="dxa"/>
            <w:shd w:val="clear" w:color="auto" w:fill="auto"/>
            <w:vAlign w:val="center"/>
          </w:tcPr>
          <w:p w14:paraId="236FB3FD" w14:textId="2C634928" w:rsidR="0003098A" w:rsidRPr="007B7AC6" w:rsidRDefault="0003098A" w:rsidP="0003098A">
            <w:pPr>
              <w:spacing w:line="276" w:lineRule="auto"/>
            </w:pPr>
            <w:r>
              <w:t>Council on the Ageing</w:t>
            </w:r>
          </w:p>
        </w:tc>
        <w:tc>
          <w:tcPr>
            <w:tcW w:w="353" w:type="dxa"/>
            <w:shd w:val="clear" w:color="auto" w:fill="auto"/>
          </w:tcPr>
          <w:p w14:paraId="0F58A597" w14:textId="77777777" w:rsidR="0003098A" w:rsidRPr="001938B2" w:rsidRDefault="0003098A" w:rsidP="0003098A">
            <w:pPr>
              <w:spacing w:line="276" w:lineRule="auto"/>
            </w:pPr>
          </w:p>
        </w:tc>
        <w:tc>
          <w:tcPr>
            <w:tcW w:w="1065" w:type="dxa"/>
            <w:shd w:val="clear" w:color="auto" w:fill="auto"/>
            <w:vAlign w:val="center"/>
          </w:tcPr>
          <w:p w14:paraId="56D53991" w14:textId="77777777" w:rsidR="0003098A" w:rsidRPr="00E33AFB" w:rsidRDefault="0003098A" w:rsidP="0003098A">
            <w:pPr>
              <w:spacing w:after="120" w:line="276" w:lineRule="auto"/>
            </w:pPr>
            <w:r>
              <w:t>MBE</w:t>
            </w:r>
          </w:p>
        </w:tc>
        <w:tc>
          <w:tcPr>
            <w:tcW w:w="4111" w:type="dxa"/>
            <w:shd w:val="clear" w:color="auto" w:fill="auto"/>
            <w:vAlign w:val="center"/>
          </w:tcPr>
          <w:p w14:paraId="4D0E53DB" w14:textId="726E76A2" w:rsidR="0003098A" w:rsidRPr="00E33AFB" w:rsidRDefault="0003098A" w:rsidP="0003098A">
            <w:pPr>
              <w:spacing w:after="120" w:line="276" w:lineRule="auto"/>
            </w:pPr>
            <w:r>
              <w:t>M</w:t>
            </w:r>
            <w:r w:rsidR="00D77A7E">
              <w:t>em</w:t>
            </w:r>
            <w:r>
              <w:t>ber of the British Empire</w:t>
            </w:r>
          </w:p>
        </w:tc>
      </w:tr>
      <w:tr w:rsidR="0003098A" w:rsidRPr="00A13210" w14:paraId="713F289F" w14:textId="77777777" w:rsidTr="00E917DE">
        <w:tc>
          <w:tcPr>
            <w:tcW w:w="1135" w:type="dxa"/>
            <w:shd w:val="clear" w:color="auto" w:fill="FEDADD" w:themeFill="accent5"/>
            <w:vAlign w:val="center"/>
          </w:tcPr>
          <w:p w14:paraId="41C3CE6D" w14:textId="77777777" w:rsidR="0003098A" w:rsidRPr="001938B2" w:rsidRDefault="0003098A" w:rsidP="0003098A">
            <w:pPr>
              <w:spacing w:line="276" w:lineRule="auto"/>
            </w:pPr>
            <w:r>
              <w:t>DATSIP</w:t>
            </w:r>
          </w:p>
        </w:tc>
        <w:tc>
          <w:tcPr>
            <w:tcW w:w="3685" w:type="dxa"/>
            <w:shd w:val="clear" w:color="auto" w:fill="FEDADD" w:themeFill="accent5"/>
            <w:vAlign w:val="center"/>
          </w:tcPr>
          <w:p w14:paraId="0FD3072A" w14:textId="77777777" w:rsidR="0003098A" w:rsidRPr="001938B2" w:rsidRDefault="0003098A" w:rsidP="0003098A">
            <w:pPr>
              <w:spacing w:line="276" w:lineRule="auto"/>
            </w:pPr>
            <w:r>
              <w:t xml:space="preserve">Department of Aboriginal and Torres Strait Islander Partnerships </w:t>
            </w:r>
          </w:p>
        </w:tc>
        <w:tc>
          <w:tcPr>
            <w:tcW w:w="353" w:type="dxa"/>
            <w:shd w:val="clear" w:color="auto" w:fill="FEDADD" w:themeFill="accent5"/>
          </w:tcPr>
          <w:p w14:paraId="2DC68863" w14:textId="77777777" w:rsidR="0003098A" w:rsidRPr="001938B2" w:rsidRDefault="0003098A" w:rsidP="0003098A">
            <w:pPr>
              <w:spacing w:line="276" w:lineRule="auto"/>
            </w:pPr>
          </w:p>
        </w:tc>
        <w:tc>
          <w:tcPr>
            <w:tcW w:w="1065" w:type="dxa"/>
            <w:shd w:val="clear" w:color="auto" w:fill="FEDADD" w:themeFill="accent5"/>
            <w:vAlign w:val="center"/>
          </w:tcPr>
          <w:p w14:paraId="346B054C" w14:textId="77777777" w:rsidR="0003098A" w:rsidRPr="00E33AFB" w:rsidRDefault="0003098A" w:rsidP="0003098A">
            <w:pPr>
              <w:spacing w:after="120" w:line="276" w:lineRule="auto"/>
            </w:pPr>
            <w:r>
              <w:t>MOU</w:t>
            </w:r>
          </w:p>
        </w:tc>
        <w:tc>
          <w:tcPr>
            <w:tcW w:w="4111" w:type="dxa"/>
            <w:shd w:val="clear" w:color="auto" w:fill="FEDADD" w:themeFill="accent5"/>
            <w:vAlign w:val="center"/>
          </w:tcPr>
          <w:p w14:paraId="08B70B74" w14:textId="77777777" w:rsidR="0003098A" w:rsidRPr="00E33AFB" w:rsidRDefault="0003098A" w:rsidP="0003098A">
            <w:pPr>
              <w:spacing w:after="120" w:line="276" w:lineRule="auto"/>
            </w:pPr>
            <w:r>
              <w:t xml:space="preserve">Memorandum of Understanding </w:t>
            </w:r>
          </w:p>
        </w:tc>
      </w:tr>
      <w:tr w:rsidR="0003098A" w:rsidRPr="00A13210" w14:paraId="7F17AC48" w14:textId="77777777" w:rsidTr="00E917DE">
        <w:tc>
          <w:tcPr>
            <w:tcW w:w="1135" w:type="dxa"/>
            <w:shd w:val="clear" w:color="auto" w:fill="auto"/>
            <w:vAlign w:val="center"/>
          </w:tcPr>
          <w:p w14:paraId="1F06408B" w14:textId="77777777" w:rsidR="0003098A" w:rsidRPr="00570777" w:rsidRDefault="0003098A" w:rsidP="0003098A">
            <w:pPr>
              <w:spacing w:line="276" w:lineRule="auto"/>
            </w:pPr>
            <w:r>
              <w:t>DCDSS</w:t>
            </w:r>
          </w:p>
        </w:tc>
        <w:tc>
          <w:tcPr>
            <w:tcW w:w="3685" w:type="dxa"/>
            <w:shd w:val="clear" w:color="auto" w:fill="auto"/>
            <w:vAlign w:val="center"/>
          </w:tcPr>
          <w:p w14:paraId="4DE6D3CF" w14:textId="77777777" w:rsidR="0003098A" w:rsidRPr="00570777" w:rsidRDefault="0003098A" w:rsidP="0003098A">
            <w:pPr>
              <w:spacing w:line="276" w:lineRule="auto"/>
            </w:pPr>
            <w:r>
              <w:t xml:space="preserve">Department of Comunities, Disability Services and Seniors </w:t>
            </w:r>
          </w:p>
        </w:tc>
        <w:tc>
          <w:tcPr>
            <w:tcW w:w="353" w:type="dxa"/>
            <w:shd w:val="clear" w:color="auto" w:fill="auto"/>
          </w:tcPr>
          <w:p w14:paraId="2B5898B2" w14:textId="77777777" w:rsidR="0003098A" w:rsidRPr="001938B2" w:rsidRDefault="0003098A" w:rsidP="0003098A">
            <w:pPr>
              <w:spacing w:line="276" w:lineRule="auto"/>
            </w:pPr>
          </w:p>
        </w:tc>
        <w:tc>
          <w:tcPr>
            <w:tcW w:w="1065" w:type="dxa"/>
            <w:shd w:val="clear" w:color="auto" w:fill="auto"/>
            <w:vAlign w:val="center"/>
          </w:tcPr>
          <w:p w14:paraId="00E6BF1B" w14:textId="77777777" w:rsidR="0003098A" w:rsidRPr="00E33AFB" w:rsidRDefault="0003098A" w:rsidP="0003098A">
            <w:pPr>
              <w:spacing w:line="276" w:lineRule="auto"/>
            </w:pPr>
            <w:r>
              <w:t>PDP</w:t>
            </w:r>
          </w:p>
        </w:tc>
        <w:tc>
          <w:tcPr>
            <w:tcW w:w="4111" w:type="dxa"/>
            <w:shd w:val="clear" w:color="auto" w:fill="auto"/>
            <w:vAlign w:val="center"/>
          </w:tcPr>
          <w:p w14:paraId="2F3E2B80" w14:textId="77777777" w:rsidR="0003098A" w:rsidRPr="00E33AFB" w:rsidRDefault="0003098A" w:rsidP="0003098A">
            <w:pPr>
              <w:spacing w:line="276" w:lineRule="auto"/>
            </w:pPr>
            <w:r>
              <w:t>Performance and Development Planning</w:t>
            </w:r>
          </w:p>
        </w:tc>
      </w:tr>
      <w:tr w:rsidR="0003098A" w:rsidRPr="00A13210" w14:paraId="394723C2" w14:textId="77777777" w:rsidTr="00E917DE">
        <w:tc>
          <w:tcPr>
            <w:tcW w:w="1135" w:type="dxa"/>
            <w:shd w:val="clear" w:color="auto" w:fill="FEDADD" w:themeFill="accent5"/>
            <w:vAlign w:val="center"/>
          </w:tcPr>
          <w:p w14:paraId="4A39493E" w14:textId="77777777" w:rsidR="0003098A" w:rsidRPr="00952E17" w:rsidRDefault="0003098A" w:rsidP="0003098A">
            <w:pPr>
              <w:spacing w:line="276" w:lineRule="auto"/>
              <w:rPr>
                <w:szCs w:val="22"/>
              </w:rPr>
            </w:pPr>
            <w:r w:rsidRPr="00570777">
              <w:t>DFV</w:t>
            </w:r>
          </w:p>
        </w:tc>
        <w:tc>
          <w:tcPr>
            <w:tcW w:w="3685" w:type="dxa"/>
            <w:shd w:val="clear" w:color="auto" w:fill="FEDADD" w:themeFill="accent5"/>
            <w:vAlign w:val="center"/>
          </w:tcPr>
          <w:p w14:paraId="12BBB428" w14:textId="77777777" w:rsidR="0003098A" w:rsidRPr="00570777" w:rsidRDefault="0003098A" w:rsidP="0003098A">
            <w:pPr>
              <w:spacing w:line="276" w:lineRule="auto"/>
            </w:pPr>
            <w:r w:rsidRPr="00570777">
              <w:t>Domestic and Family Violence</w:t>
            </w:r>
          </w:p>
        </w:tc>
        <w:tc>
          <w:tcPr>
            <w:tcW w:w="353" w:type="dxa"/>
            <w:shd w:val="clear" w:color="auto" w:fill="FEDADD" w:themeFill="accent5"/>
          </w:tcPr>
          <w:p w14:paraId="45FB13D6" w14:textId="77777777" w:rsidR="0003098A" w:rsidRPr="001938B2" w:rsidRDefault="0003098A" w:rsidP="0003098A">
            <w:pPr>
              <w:spacing w:line="276" w:lineRule="auto"/>
            </w:pPr>
          </w:p>
        </w:tc>
        <w:tc>
          <w:tcPr>
            <w:tcW w:w="1065" w:type="dxa"/>
            <w:shd w:val="clear" w:color="auto" w:fill="FEDADD" w:themeFill="accent5"/>
            <w:vAlign w:val="center"/>
          </w:tcPr>
          <w:p w14:paraId="4C34C026" w14:textId="77777777" w:rsidR="0003098A" w:rsidRPr="00144760" w:rsidRDefault="0003098A" w:rsidP="0003098A">
            <w:pPr>
              <w:spacing w:line="276" w:lineRule="auto"/>
            </w:pPr>
            <w:r w:rsidRPr="00570777">
              <w:t>PSBA</w:t>
            </w:r>
          </w:p>
        </w:tc>
        <w:tc>
          <w:tcPr>
            <w:tcW w:w="4111" w:type="dxa"/>
            <w:shd w:val="clear" w:color="auto" w:fill="FEDADD" w:themeFill="accent5"/>
            <w:vAlign w:val="center"/>
          </w:tcPr>
          <w:p w14:paraId="1EBC4F9E" w14:textId="77777777" w:rsidR="0003098A" w:rsidRPr="00144760" w:rsidRDefault="0003098A" w:rsidP="0003098A">
            <w:pPr>
              <w:spacing w:line="276" w:lineRule="auto"/>
            </w:pPr>
            <w:r w:rsidRPr="00570777">
              <w:t>Public Safety Business Agency</w:t>
            </w:r>
          </w:p>
        </w:tc>
      </w:tr>
      <w:tr w:rsidR="0003098A" w:rsidRPr="00A13210" w14:paraId="47C56A11" w14:textId="77777777" w:rsidTr="00E917DE">
        <w:tc>
          <w:tcPr>
            <w:tcW w:w="1135" w:type="dxa"/>
            <w:shd w:val="clear" w:color="auto" w:fill="auto"/>
            <w:vAlign w:val="center"/>
          </w:tcPr>
          <w:p w14:paraId="7933AEA0" w14:textId="77777777" w:rsidR="0003098A" w:rsidRPr="001938B2" w:rsidRDefault="0003098A" w:rsidP="0003098A">
            <w:pPr>
              <w:spacing w:after="120" w:line="276" w:lineRule="auto"/>
            </w:pPr>
            <w:r w:rsidRPr="00952E17">
              <w:rPr>
                <w:szCs w:val="22"/>
              </w:rPr>
              <w:t>DHPW</w:t>
            </w:r>
          </w:p>
        </w:tc>
        <w:tc>
          <w:tcPr>
            <w:tcW w:w="3685" w:type="dxa"/>
            <w:shd w:val="clear" w:color="auto" w:fill="auto"/>
            <w:vAlign w:val="center"/>
          </w:tcPr>
          <w:p w14:paraId="4EBF3892" w14:textId="77777777" w:rsidR="0003098A" w:rsidRPr="001938B2" w:rsidRDefault="0003098A" w:rsidP="0003098A">
            <w:pPr>
              <w:spacing w:line="276" w:lineRule="auto"/>
            </w:pPr>
            <w:r>
              <w:t xml:space="preserve">Department of Housing and Public Works </w:t>
            </w:r>
          </w:p>
        </w:tc>
        <w:tc>
          <w:tcPr>
            <w:tcW w:w="353" w:type="dxa"/>
            <w:shd w:val="clear" w:color="auto" w:fill="auto"/>
          </w:tcPr>
          <w:p w14:paraId="18EA0A0A" w14:textId="77777777" w:rsidR="0003098A" w:rsidRPr="001938B2" w:rsidRDefault="0003098A" w:rsidP="0003098A">
            <w:pPr>
              <w:spacing w:line="276" w:lineRule="auto"/>
            </w:pPr>
          </w:p>
        </w:tc>
        <w:tc>
          <w:tcPr>
            <w:tcW w:w="1065" w:type="dxa"/>
            <w:shd w:val="clear" w:color="auto" w:fill="auto"/>
            <w:vAlign w:val="center"/>
          </w:tcPr>
          <w:p w14:paraId="658FE2AB" w14:textId="77777777" w:rsidR="0003098A" w:rsidRPr="00E33AFB" w:rsidRDefault="0003098A" w:rsidP="0003098A">
            <w:pPr>
              <w:spacing w:after="120" w:line="276" w:lineRule="auto"/>
            </w:pPr>
            <w:r w:rsidRPr="00144760">
              <w:t>QAO</w:t>
            </w:r>
          </w:p>
        </w:tc>
        <w:tc>
          <w:tcPr>
            <w:tcW w:w="4111" w:type="dxa"/>
            <w:shd w:val="clear" w:color="auto" w:fill="auto"/>
            <w:vAlign w:val="center"/>
          </w:tcPr>
          <w:p w14:paraId="5BF7AD6F" w14:textId="77777777" w:rsidR="0003098A" w:rsidRPr="00E33AFB" w:rsidRDefault="0003098A" w:rsidP="0003098A">
            <w:pPr>
              <w:spacing w:after="120" w:line="276" w:lineRule="auto"/>
            </w:pPr>
            <w:r w:rsidRPr="00144760">
              <w:t>Queensland Audit Office</w:t>
            </w:r>
          </w:p>
        </w:tc>
      </w:tr>
      <w:tr w:rsidR="0003098A" w:rsidRPr="000D4EF7" w14:paraId="5DB9E471" w14:textId="77777777" w:rsidTr="00E917DE">
        <w:tc>
          <w:tcPr>
            <w:tcW w:w="1135" w:type="dxa"/>
            <w:shd w:val="clear" w:color="auto" w:fill="FEDADD" w:themeFill="accent5"/>
            <w:vAlign w:val="center"/>
          </w:tcPr>
          <w:p w14:paraId="7B82F9D8" w14:textId="77777777" w:rsidR="0003098A" w:rsidRPr="001938B2" w:rsidRDefault="0003098A" w:rsidP="0003098A">
            <w:pPr>
              <w:spacing w:after="120" w:line="276" w:lineRule="auto"/>
            </w:pPr>
            <w:r w:rsidRPr="00952E17">
              <w:rPr>
                <w:sz w:val="20"/>
              </w:rPr>
              <w:t>DLGRMA</w:t>
            </w:r>
          </w:p>
        </w:tc>
        <w:tc>
          <w:tcPr>
            <w:tcW w:w="3685" w:type="dxa"/>
            <w:shd w:val="clear" w:color="auto" w:fill="FEDADD" w:themeFill="accent5"/>
            <w:vAlign w:val="center"/>
          </w:tcPr>
          <w:p w14:paraId="6AB7D458" w14:textId="77777777" w:rsidR="0003098A" w:rsidRPr="001938B2" w:rsidRDefault="0003098A" w:rsidP="0003098A">
            <w:pPr>
              <w:spacing w:line="276" w:lineRule="auto"/>
            </w:pPr>
            <w:r>
              <w:t xml:space="preserve">Department of Local Government, Racing and Multicultural Affairs </w:t>
            </w:r>
          </w:p>
        </w:tc>
        <w:tc>
          <w:tcPr>
            <w:tcW w:w="353" w:type="dxa"/>
            <w:shd w:val="clear" w:color="auto" w:fill="FEDADD" w:themeFill="accent5"/>
          </w:tcPr>
          <w:p w14:paraId="295A1DFE" w14:textId="77777777" w:rsidR="0003098A" w:rsidRPr="001938B2" w:rsidRDefault="0003098A" w:rsidP="0003098A">
            <w:pPr>
              <w:spacing w:after="120" w:line="276" w:lineRule="auto"/>
            </w:pPr>
          </w:p>
        </w:tc>
        <w:tc>
          <w:tcPr>
            <w:tcW w:w="1065" w:type="dxa"/>
            <w:shd w:val="clear" w:color="auto" w:fill="FEDADD" w:themeFill="accent5"/>
            <w:vAlign w:val="center"/>
          </w:tcPr>
          <w:p w14:paraId="013D73F1" w14:textId="77777777" w:rsidR="0003098A" w:rsidRPr="00E33AFB" w:rsidRDefault="0003098A" w:rsidP="0003098A">
            <w:pPr>
              <w:spacing w:after="120" w:line="276" w:lineRule="auto"/>
            </w:pPr>
            <w:r>
              <w:t>QDMC</w:t>
            </w:r>
          </w:p>
        </w:tc>
        <w:tc>
          <w:tcPr>
            <w:tcW w:w="4111" w:type="dxa"/>
            <w:shd w:val="clear" w:color="auto" w:fill="FEDADD" w:themeFill="accent5"/>
            <w:vAlign w:val="center"/>
          </w:tcPr>
          <w:p w14:paraId="2D958FC9" w14:textId="77777777" w:rsidR="0003098A" w:rsidRPr="00E33AFB" w:rsidRDefault="0003098A" w:rsidP="0003098A">
            <w:pPr>
              <w:spacing w:after="120" w:line="276" w:lineRule="auto"/>
            </w:pPr>
            <w:r>
              <w:t xml:space="preserve">Queensland Disaster Management Committee </w:t>
            </w:r>
          </w:p>
        </w:tc>
      </w:tr>
      <w:tr w:rsidR="0003098A" w:rsidRPr="000D4EF7" w14:paraId="0F850B44" w14:textId="77777777" w:rsidTr="00E917DE">
        <w:tc>
          <w:tcPr>
            <w:tcW w:w="1135" w:type="dxa"/>
            <w:shd w:val="clear" w:color="auto" w:fill="auto"/>
            <w:vAlign w:val="center"/>
          </w:tcPr>
          <w:p w14:paraId="3F7DA0E6" w14:textId="77777777" w:rsidR="0003098A" w:rsidRDefault="0003098A" w:rsidP="0003098A">
            <w:pPr>
              <w:spacing w:line="276" w:lineRule="auto"/>
            </w:pPr>
            <w:r>
              <w:t>DMO</w:t>
            </w:r>
          </w:p>
        </w:tc>
        <w:tc>
          <w:tcPr>
            <w:tcW w:w="3685" w:type="dxa"/>
            <w:shd w:val="clear" w:color="auto" w:fill="auto"/>
            <w:vAlign w:val="center"/>
          </w:tcPr>
          <w:p w14:paraId="5192719E" w14:textId="77777777" w:rsidR="0003098A" w:rsidRDefault="0003098A" w:rsidP="0003098A">
            <w:pPr>
              <w:spacing w:line="276" w:lineRule="auto"/>
            </w:pPr>
            <w:r>
              <w:t xml:space="preserve">Disaster Management Officer </w:t>
            </w:r>
          </w:p>
        </w:tc>
        <w:tc>
          <w:tcPr>
            <w:tcW w:w="353" w:type="dxa"/>
            <w:shd w:val="clear" w:color="auto" w:fill="auto"/>
          </w:tcPr>
          <w:p w14:paraId="7A1DA0F9" w14:textId="77777777" w:rsidR="0003098A" w:rsidRPr="001938B2" w:rsidRDefault="0003098A" w:rsidP="0003098A">
            <w:pPr>
              <w:spacing w:line="276" w:lineRule="auto"/>
            </w:pPr>
          </w:p>
        </w:tc>
        <w:tc>
          <w:tcPr>
            <w:tcW w:w="1065" w:type="dxa"/>
            <w:shd w:val="clear" w:color="auto" w:fill="auto"/>
            <w:vAlign w:val="center"/>
          </w:tcPr>
          <w:p w14:paraId="5DB563D8" w14:textId="77777777" w:rsidR="0003098A" w:rsidRPr="00E33AFB" w:rsidRDefault="0003098A" w:rsidP="0003098A">
            <w:pPr>
              <w:spacing w:line="276" w:lineRule="auto"/>
            </w:pPr>
            <w:r w:rsidRPr="00144760">
              <w:t>QFES</w:t>
            </w:r>
          </w:p>
        </w:tc>
        <w:tc>
          <w:tcPr>
            <w:tcW w:w="4111" w:type="dxa"/>
            <w:shd w:val="clear" w:color="auto" w:fill="auto"/>
            <w:vAlign w:val="center"/>
          </w:tcPr>
          <w:p w14:paraId="12C44B2F" w14:textId="77777777" w:rsidR="0003098A" w:rsidRPr="00E33AFB" w:rsidRDefault="0003098A" w:rsidP="0003098A">
            <w:pPr>
              <w:spacing w:line="276" w:lineRule="auto"/>
            </w:pPr>
            <w:r w:rsidRPr="00144760">
              <w:t>Queensland Fire and Emergency Services</w:t>
            </w:r>
          </w:p>
        </w:tc>
      </w:tr>
      <w:tr w:rsidR="0003098A" w:rsidRPr="000D4EF7" w14:paraId="3E32010B" w14:textId="77777777" w:rsidTr="00E917DE">
        <w:tc>
          <w:tcPr>
            <w:tcW w:w="1135" w:type="dxa"/>
            <w:shd w:val="clear" w:color="auto" w:fill="FEDADD" w:themeFill="accent5"/>
            <w:vAlign w:val="center"/>
          </w:tcPr>
          <w:p w14:paraId="7E0DE439" w14:textId="77777777" w:rsidR="0003098A" w:rsidRPr="001938B2" w:rsidRDefault="0003098A" w:rsidP="0003098A">
            <w:pPr>
              <w:spacing w:line="276" w:lineRule="auto"/>
            </w:pPr>
            <w:r>
              <w:t>DPC</w:t>
            </w:r>
          </w:p>
        </w:tc>
        <w:tc>
          <w:tcPr>
            <w:tcW w:w="3685" w:type="dxa"/>
            <w:shd w:val="clear" w:color="auto" w:fill="FEDADD" w:themeFill="accent5"/>
            <w:vAlign w:val="center"/>
          </w:tcPr>
          <w:p w14:paraId="75F96B92" w14:textId="77777777" w:rsidR="0003098A" w:rsidRPr="001938B2" w:rsidRDefault="0003098A" w:rsidP="0003098A">
            <w:pPr>
              <w:spacing w:line="276" w:lineRule="auto"/>
            </w:pPr>
            <w:r>
              <w:t xml:space="preserve">Department of the Premier and Cabinet </w:t>
            </w:r>
          </w:p>
        </w:tc>
        <w:tc>
          <w:tcPr>
            <w:tcW w:w="353" w:type="dxa"/>
            <w:shd w:val="clear" w:color="auto" w:fill="FEDADD" w:themeFill="accent5"/>
          </w:tcPr>
          <w:p w14:paraId="7CA0AC75" w14:textId="77777777" w:rsidR="0003098A" w:rsidRPr="001938B2" w:rsidRDefault="0003098A" w:rsidP="0003098A">
            <w:pPr>
              <w:spacing w:after="120" w:line="276" w:lineRule="auto"/>
            </w:pPr>
          </w:p>
        </w:tc>
        <w:tc>
          <w:tcPr>
            <w:tcW w:w="1065" w:type="dxa"/>
            <w:shd w:val="clear" w:color="auto" w:fill="FEDADD" w:themeFill="accent5"/>
            <w:vAlign w:val="center"/>
          </w:tcPr>
          <w:p w14:paraId="3B04FE6A" w14:textId="77777777" w:rsidR="0003098A" w:rsidRPr="00E33AFB" w:rsidRDefault="0003098A" w:rsidP="0003098A">
            <w:pPr>
              <w:spacing w:after="120" w:line="276" w:lineRule="auto"/>
            </w:pPr>
            <w:r>
              <w:t>QH</w:t>
            </w:r>
          </w:p>
        </w:tc>
        <w:tc>
          <w:tcPr>
            <w:tcW w:w="4111" w:type="dxa"/>
            <w:shd w:val="clear" w:color="auto" w:fill="FEDADD" w:themeFill="accent5"/>
            <w:vAlign w:val="center"/>
          </w:tcPr>
          <w:p w14:paraId="49A0F05D" w14:textId="77777777" w:rsidR="0003098A" w:rsidRPr="00E33AFB" w:rsidRDefault="0003098A" w:rsidP="0003098A">
            <w:pPr>
              <w:spacing w:after="120" w:line="276" w:lineRule="auto"/>
            </w:pPr>
            <w:r>
              <w:t>Queensland Health</w:t>
            </w:r>
          </w:p>
        </w:tc>
      </w:tr>
      <w:tr w:rsidR="0003098A" w:rsidRPr="000D4EF7" w14:paraId="22ACB82A" w14:textId="77777777" w:rsidTr="00E917DE">
        <w:tc>
          <w:tcPr>
            <w:tcW w:w="1135" w:type="dxa"/>
            <w:shd w:val="clear" w:color="auto" w:fill="auto"/>
            <w:vAlign w:val="center"/>
          </w:tcPr>
          <w:p w14:paraId="1F5ED3FF" w14:textId="77777777" w:rsidR="0003098A" w:rsidRPr="001938B2" w:rsidRDefault="0003098A" w:rsidP="0003098A">
            <w:pPr>
              <w:spacing w:line="276" w:lineRule="auto"/>
            </w:pPr>
            <w:r>
              <w:t>DTMR</w:t>
            </w:r>
          </w:p>
        </w:tc>
        <w:tc>
          <w:tcPr>
            <w:tcW w:w="3685" w:type="dxa"/>
            <w:shd w:val="clear" w:color="auto" w:fill="auto"/>
            <w:vAlign w:val="center"/>
          </w:tcPr>
          <w:p w14:paraId="13F79EAD" w14:textId="77777777" w:rsidR="0003098A" w:rsidRPr="001938B2" w:rsidRDefault="0003098A" w:rsidP="0003098A">
            <w:pPr>
              <w:spacing w:line="276" w:lineRule="auto"/>
            </w:pPr>
            <w:r>
              <w:t xml:space="preserve">Department of Transport and Main Roads </w:t>
            </w:r>
          </w:p>
        </w:tc>
        <w:tc>
          <w:tcPr>
            <w:tcW w:w="353" w:type="dxa"/>
            <w:shd w:val="clear" w:color="auto" w:fill="auto"/>
          </w:tcPr>
          <w:p w14:paraId="1D8F1FCD" w14:textId="77777777" w:rsidR="0003098A" w:rsidRPr="001938B2" w:rsidRDefault="0003098A" w:rsidP="0003098A">
            <w:pPr>
              <w:spacing w:after="120" w:line="276" w:lineRule="auto"/>
            </w:pPr>
          </w:p>
        </w:tc>
        <w:tc>
          <w:tcPr>
            <w:tcW w:w="1065" w:type="dxa"/>
            <w:shd w:val="clear" w:color="auto" w:fill="auto"/>
            <w:vAlign w:val="center"/>
          </w:tcPr>
          <w:p w14:paraId="16C3C3DB" w14:textId="77777777" w:rsidR="0003098A" w:rsidRPr="00E33AFB" w:rsidRDefault="0003098A" w:rsidP="0003098A">
            <w:pPr>
              <w:spacing w:after="120" w:line="276" w:lineRule="auto"/>
            </w:pPr>
            <w:r w:rsidRPr="00144760">
              <w:t>QPS</w:t>
            </w:r>
          </w:p>
        </w:tc>
        <w:tc>
          <w:tcPr>
            <w:tcW w:w="4111" w:type="dxa"/>
            <w:shd w:val="clear" w:color="auto" w:fill="auto"/>
            <w:vAlign w:val="center"/>
          </w:tcPr>
          <w:p w14:paraId="6F3D6DDD" w14:textId="77777777" w:rsidR="0003098A" w:rsidRPr="00E33AFB" w:rsidRDefault="0003098A" w:rsidP="0003098A">
            <w:pPr>
              <w:spacing w:after="120" w:line="276" w:lineRule="auto"/>
            </w:pPr>
            <w:r w:rsidRPr="00144760">
              <w:t>Queensland Police Service</w:t>
            </w:r>
          </w:p>
        </w:tc>
      </w:tr>
    </w:tbl>
    <w:p w14:paraId="079F6982" w14:textId="77777777" w:rsidR="00C67644" w:rsidRDefault="00C67644">
      <w:r>
        <w:br w:type="page"/>
      </w:r>
    </w:p>
    <w:tbl>
      <w:tblPr>
        <w:tblStyle w:val="TableGrid"/>
        <w:tblW w:w="10349"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5"/>
        <w:gridCol w:w="3685"/>
        <w:gridCol w:w="353"/>
        <w:gridCol w:w="1065"/>
        <w:gridCol w:w="4111"/>
      </w:tblGrid>
      <w:tr w:rsidR="00E75527" w:rsidRPr="000D4EF7" w14:paraId="277244D8" w14:textId="77777777" w:rsidTr="00E917DE">
        <w:tc>
          <w:tcPr>
            <w:tcW w:w="1135" w:type="dxa"/>
            <w:shd w:val="clear" w:color="auto" w:fill="FEDADD" w:themeFill="accent5"/>
            <w:vAlign w:val="center"/>
          </w:tcPr>
          <w:p w14:paraId="5721E6EB" w14:textId="25389B02" w:rsidR="00E75527" w:rsidRPr="00570777" w:rsidRDefault="00E75527" w:rsidP="00E75527">
            <w:pPr>
              <w:spacing w:line="276" w:lineRule="auto"/>
            </w:pPr>
            <w:r>
              <w:lastRenderedPageBreak/>
              <w:t>QRA</w:t>
            </w:r>
          </w:p>
        </w:tc>
        <w:tc>
          <w:tcPr>
            <w:tcW w:w="3685" w:type="dxa"/>
            <w:shd w:val="clear" w:color="auto" w:fill="FEDADD" w:themeFill="accent5"/>
            <w:vAlign w:val="center"/>
          </w:tcPr>
          <w:p w14:paraId="4AA4A009" w14:textId="77777777" w:rsidR="00E75527" w:rsidRPr="00570777" w:rsidRDefault="00E75527" w:rsidP="00E75527">
            <w:pPr>
              <w:spacing w:line="276" w:lineRule="auto"/>
            </w:pPr>
            <w:r>
              <w:t>Queensland Reconstruction Authority</w:t>
            </w:r>
          </w:p>
        </w:tc>
        <w:tc>
          <w:tcPr>
            <w:tcW w:w="353" w:type="dxa"/>
            <w:shd w:val="clear" w:color="auto" w:fill="FEDADD" w:themeFill="accent5"/>
          </w:tcPr>
          <w:p w14:paraId="289C4ADE" w14:textId="77777777" w:rsidR="00E75527" w:rsidRPr="001938B2" w:rsidRDefault="00E75527" w:rsidP="00E75527">
            <w:pPr>
              <w:spacing w:line="276" w:lineRule="auto"/>
            </w:pPr>
          </w:p>
        </w:tc>
        <w:tc>
          <w:tcPr>
            <w:tcW w:w="1065" w:type="dxa"/>
            <w:shd w:val="clear" w:color="auto" w:fill="FEDADD" w:themeFill="accent5"/>
            <w:vAlign w:val="center"/>
          </w:tcPr>
          <w:p w14:paraId="0EF0F913" w14:textId="77777777" w:rsidR="00E75527" w:rsidRPr="00570777" w:rsidRDefault="00E75527" w:rsidP="00E75527">
            <w:pPr>
              <w:spacing w:line="276" w:lineRule="auto"/>
            </w:pPr>
            <w:r>
              <w:t>SDCG</w:t>
            </w:r>
          </w:p>
        </w:tc>
        <w:tc>
          <w:tcPr>
            <w:tcW w:w="4111" w:type="dxa"/>
            <w:shd w:val="clear" w:color="auto" w:fill="FEDADD" w:themeFill="accent5"/>
            <w:vAlign w:val="center"/>
          </w:tcPr>
          <w:p w14:paraId="4D8FF9E2" w14:textId="77777777" w:rsidR="00E75527" w:rsidRPr="00570777" w:rsidRDefault="00E75527" w:rsidP="00E75527">
            <w:pPr>
              <w:spacing w:line="276" w:lineRule="auto"/>
            </w:pPr>
            <w:r>
              <w:t xml:space="preserve">State Disaster Coordination Group </w:t>
            </w:r>
          </w:p>
        </w:tc>
      </w:tr>
      <w:tr w:rsidR="00E75527" w:rsidRPr="000D4EF7" w14:paraId="0E8DAD0E" w14:textId="77777777" w:rsidTr="00E917DE">
        <w:tc>
          <w:tcPr>
            <w:tcW w:w="1135" w:type="dxa"/>
            <w:shd w:val="clear" w:color="auto" w:fill="auto"/>
            <w:vAlign w:val="center"/>
          </w:tcPr>
          <w:p w14:paraId="65C7E1F7" w14:textId="77777777" w:rsidR="00E75527" w:rsidRDefault="00E75527" w:rsidP="00E75527">
            <w:pPr>
              <w:spacing w:line="276" w:lineRule="auto"/>
            </w:pPr>
            <w:r>
              <w:t>QUT</w:t>
            </w:r>
          </w:p>
        </w:tc>
        <w:tc>
          <w:tcPr>
            <w:tcW w:w="3685" w:type="dxa"/>
            <w:shd w:val="clear" w:color="auto" w:fill="auto"/>
            <w:vAlign w:val="center"/>
          </w:tcPr>
          <w:p w14:paraId="4034B638" w14:textId="77777777" w:rsidR="00E75527" w:rsidRDefault="00E75527" w:rsidP="00E75527">
            <w:pPr>
              <w:spacing w:line="276" w:lineRule="auto"/>
            </w:pPr>
            <w:r>
              <w:t xml:space="preserve">Queensland University of Technology </w:t>
            </w:r>
          </w:p>
        </w:tc>
        <w:tc>
          <w:tcPr>
            <w:tcW w:w="353" w:type="dxa"/>
            <w:shd w:val="clear" w:color="auto" w:fill="auto"/>
          </w:tcPr>
          <w:p w14:paraId="413F54FD" w14:textId="77777777" w:rsidR="00E75527" w:rsidRPr="001938B2" w:rsidRDefault="00E75527" w:rsidP="00E75527">
            <w:pPr>
              <w:spacing w:line="276" w:lineRule="auto"/>
            </w:pPr>
          </w:p>
        </w:tc>
        <w:tc>
          <w:tcPr>
            <w:tcW w:w="1065" w:type="dxa"/>
            <w:shd w:val="clear" w:color="auto" w:fill="auto"/>
            <w:vAlign w:val="center"/>
          </w:tcPr>
          <w:p w14:paraId="35AC552A" w14:textId="77777777" w:rsidR="00E75527" w:rsidRPr="001938B2" w:rsidRDefault="00E75527" w:rsidP="00E75527">
            <w:pPr>
              <w:spacing w:after="120" w:line="276" w:lineRule="auto"/>
            </w:pPr>
            <w:r>
              <w:t>TWiG</w:t>
            </w:r>
          </w:p>
        </w:tc>
        <w:tc>
          <w:tcPr>
            <w:tcW w:w="4111" w:type="dxa"/>
            <w:shd w:val="clear" w:color="auto" w:fill="auto"/>
            <w:vAlign w:val="center"/>
          </w:tcPr>
          <w:p w14:paraId="2F4BEB46" w14:textId="77777777" w:rsidR="00E75527" w:rsidRPr="001938B2" w:rsidRDefault="00E75527" w:rsidP="00E75527">
            <w:pPr>
              <w:spacing w:after="120" w:line="276" w:lineRule="auto"/>
            </w:pPr>
            <w:r>
              <w:t xml:space="preserve">Testing Within Government </w:t>
            </w:r>
          </w:p>
        </w:tc>
      </w:tr>
      <w:tr w:rsidR="00E75527" w:rsidRPr="000D4EF7" w14:paraId="4D3B3264" w14:textId="77777777" w:rsidTr="00E917DE">
        <w:tc>
          <w:tcPr>
            <w:tcW w:w="1135" w:type="dxa"/>
            <w:shd w:val="clear" w:color="auto" w:fill="auto"/>
            <w:vAlign w:val="center"/>
          </w:tcPr>
          <w:p w14:paraId="6C34B6A5" w14:textId="77777777" w:rsidR="00E75527" w:rsidRPr="001938B2" w:rsidRDefault="00E75527" w:rsidP="00E75527">
            <w:pPr>
              <w:spacing w:after="120" w:line="276" w:lineRule="auto"/>
            </w:pPr>
          </w:p>
        </w:tc>
        <w:tc>
          <w:tcPr>
            <w:tcW w:w="3685" w:type="dxa"/>
            <w:shd w:val="clear" w:color="auto" w:fill="auto"/>
            <w:vAlign w:val="center"/>
          </w:tcPr>
          <w:p w14:paraId="3D4FB980" w14:textId="77777777" w:rsidR="00E75527" w:rsidRPr="001938B2" w:rsidRDefault="00E75527" w:rsidP="00E75527">
            <w:pPr>
              <w:spacing w:after="120" w:line="276" w:lineRule="auto"/>
            </w:pPr>
          </w:p>
        </w:tc>
        <w:tc>
          <w:tcPr>
            <w:tcW w:w="353" w:type="dxa"/>
            <w:shd w:val="clear" w:color="auto" w:fill="auto"/>
          </w:tcPr>
          <w:p w14:paraId="368C2A29" w14:textId="77777777" w:rsidR="00E75527" w:rsidRPr="001938B2" w:rsidRDefault="00E75527" w:rsidP="00E75527">
            <w:pPr>
              <w:spacing w:after="120" w:line="276" w:lineRule="auto"/>
            </w:pPr>
          </w:p>
        </w:tc>
        <w:tc>
          <w:tcPr>
            <w:tcW w:w="1065" w:type="dxa"/>
            <w:shd w:val="clear" w:color="auto" w:fill="auto"/>
            <w:vAlign w:val="center"/>
          </w:tcPr>
          <w:p w14:paraId="3A3A2563" w14:textId="77777777" w:rsidR="00E75527" w:rsidRPr="00E33AFB" w:rsidRDefault="00E75527" w:rsidP="00E75527">
            <w:pPr>
              <w:spacing w:after="120" w:line="276" w:lineRule="auto"/>
            </w:pPr>
          </w:p>
        </w:tc>
        <w:tc>
          <w:tcPr>
            <w:tcW w:w="4111" w:type="dxa"/>
            <w:shd w:val="clear" w:color="auto" w:fill="auto"/>
            <w:vAlign w:val="center"/>
          </w:tcPr>
          <w:p w14:paraId="63B90D2C" w14:textId="77777777" w:rsidR="00E75527" w:rsidRPr="00E33AFB" w:rsidRDefault="00E75527" w:rsidP="00E75527">
            <w:pPr>
              <w:spacing w:after="120" w:line="276" w:lineRule="auto"/>
            </w:pPr>
          </w:p>
        </w:tc>
      </w:tr>
    </w:tbl>
    <w:p w14:paraId="73090542" w14:textId="77777777" w:rsidR="002C1C76" w:rsidRDefault="002C1C76">
      <w:pPr>
        <w:rPr>
          <w:iCs/>
          <w:color w:val="000000"/>
          <w:kern w:val="0"/>
          <w:sz w:val="18"/>
          <w:szCs w:val="18"/>
          <w:lang w:eastAsia="en-US"/>
        </w:rPr>
      </w:pPr>
      <w:bookmarkStart w:id="123" w:name="_Toc415049815"/>
      <w:bookmarkStart w:id="124" w:name="_Toc415050367"/>
      <w:bookmarkStart w:id="125" w:name="_Toc441671829"/>
      <w:bookmarkStart w:id="126" w:name="_Toc441672117"/>
      <w:bookmarkStart w:id="127" w:name="_Toc442168904"/>
      <w:r>
        <w:rPr>
          <w:iCs/>
          <w:color w:val="000000"/>
          <w:kern w:val="0"/>
          <w:sz w:val="18"/>
          <w:szCs w:val="18"/>
          <w:lang w:eastAsia="en-US"/>
        </w:rPr>
        <w:br w:type="page"/>
      </w:r>
    </w:p>
    <w:p w14:paraId="3C1BBA80" w14:textId="77777777" w:rsidR="00115C53" w:rsidRPr="009D6B00" w:rsidRDefault="00AA4F42" w:rsidP="009D6B00">
      <w:pPr>
        <w:pStyle w:val="Heading2"/>
      </w:pPr>
      <w:bookmarkStart w:id="128" w:name="_Toc524519430"/>
      <w:r w:rsidRPr="009D6B00">
        <w:lastRenderedPageBreak/>
        <w:t>Compliance checklist</w:t>
      </w:r>
      <w:bookmarkEnd w:id="128"/>
      <w:r w:rsidR="00031A8F" w:rsidRPr="009D6B00">
        <w:t xml:space="preserve"> </w:t>
      </w:r>
    </w:p>
    <w:tbl>
      <w:tblPr>
        <w:tblW w:w="9592" w:type="dxa"/>
        <w:tblBorders>
          <w:insideH w:val="single" w:sz="4" w:space="0" w:color="auto"/>
        </w:tblBorders>
        <w:tblLayout w:type="fixed"/>
        <w:tblLook w:val="01E0" w:firstRow="1" w:lastRow="1" w:firstColumn="1" w:lastColumn="1" w:noHBand="0" w:noVBand="0"/>
      </w:tblPr>
      <w:tblGrid>
        <w:gridCol w:w="1548"/>
        <w:gridCol w:w="4122"/>
        <w:gridCol w:w="2268"/>
        <w:gridCol w:w="1654"/>
      </w:tblGrid>
      <w:tr w:rsidR="00B321EB" w:rsidRPr="00112138" w14:paraId="42CD16DB" w14:textId="77777777" w:rsidTr="00E10163">
        <w:trPr>
          <w:cantSplit/>
          <w:tblHeader/>
        </w:trPr>
        <w:tc>
          <w:tcPr>
            <w:tcW w:w="5670" w:type="dxa"/>
            <w:gridSpan w:val="2"/>
            <w:tcBorders>
              <w:top w:val="single" w:sz="4" w:space="0" w:color="auto"/>
              <w:bottom w:val="single" w:sz="4" w:space="0" w:color="auto"/>
              <w:right w:val="single" w:sz="4" w:space="0" w:color="auto"/>
            </w:tcBorders>
            <w:shd w:val="clear" w:color="auto" w:fill="E6E6E6"/>
            <w:vAlign w:val="center"/>
          </w:tcPr>
          <w:p w14:paraId="0ECE8E5B" w14:textId="77777777" w:rsidR="00B321EB" w:rsidRPr="00735CE6" w:rsidRDefault="00B321EB" w:rsidP="00E10163">
            <w:pPr>
              <w:pStyle w:val="Text"/>
              <w:rPr>
                <w:b/>
                <w:sz w:val="18"/>
                <w:szCs w:val="18"/>
              </w:rPr>
            </w:pPr>
            <w:r w:rsidRPr="00735CE6">
              <w:rPr>
                <w:b/>
                <w:sz w:val="18"/>
                <w:szCs w:val="18"/>
              </w:rPr>
              <w:t>Summary of requirement</w:t>
            </w:r>
          </w:p>
        </w:tc>
        <w:tc>
          <w:tcPr>
            <w:tcW w:w="2268" w:type="dxa"/>
            <w:tcBorders>
              <w:top w:val="single" w:sz="4" w:space="0" w:color="auto"/>
              <w:left w:val="single" w:sz="4" w:space="0" w:color="auto"/>
              <w:bottom w:val="single" w:sz="4" w:space="0" w:color="auto"/>
            </w:tcBorders>
            <w:shd w:val="clear" w:color="auto" w:fill="E6E6E6"/>
            <w:vAlign w:val="center"/>
          </w:tcPr>
          <w:p w14:paraId="2537E1F9" w14:textId="77777777" w:rsidR="00B321EB" w:rsidRPr="00735CE6" w:rsidRDefault="00B321EB" w:rsidP="00E10163">
            <w:pPr>
              <w:pStyle w:val="Text"/>
              <w:jc w:val="center"/>
              <w:rPr>
                <w:b/>
                <w:sz w:val="18"/>
                <w:szCs w:val="18"/>
              </w:rPr>
            </w:pPr>
            <w:r w:rsidRPr="00735CE6">
              <w:rPr>
                <w:b/>
                <w:sz w:val="18"/>
                <w:szCs w:val="18"/>
              </w:rPr>
              <w:t>Basis for requirement</w:t>
            </w:r>
          </w:p>
        </w:tc>
        <w:tc>
          <w:tcPr>
            <w:tcW w:w="1654" w:type="dxa"/>
            <w:tcBorders>
              <w:top w:val="single" w:sz="4" w:space="0" w:color="auto"/>
              <w:left w:val="single" w:sz="4" w:space="0" w:color="auto"/>
              <w:bottom w:val="single" w:sz="4" w:space="0" w:color="auto"/>
            </w:tcBorders>
            <w:shd w:val="clear" w:color="auto" w:fill="E6E6E6"/>
            <w:vAlign w:val="center"/>
          </w:tcPr>
          <w:p w14:paraId="6BE4C7AD" w14:textId="77777777" w:rsidR="00B321EB" w:rsidRPr="00735CE6" w:rsidRDefault="00B321EB" w:rsidP="00E10163">
            <w:pPr>
              <w:pStyle w:val="Text"/>
              <w:jc w:val="center"/>
              <w:rPr>
                <w:b/>
                <w:sz w:val="18"/>
                <w:szCs w:val="18"/>
              </w:rPr>
            </w:pPr>
            <w:r w:rsidRPr="00735CE6">
              <w:rPr>
                <w:b/>
                <w:sz w:val="18"/>
                <w:szCs w:val="18"/>
              </w:rPr>
              <w:t>Annual report reference</w:t>
            </w:r>
          </w:p>
        </w:tc>
      </w:tr>
      <w:tr w:rsidR="00B321EB" w:rsidRPr="00112138" w14:paraId="07629D7E" w14:textId="77777777" w:rsidTr="00E10163">
        <w:trPr>
          <w:cantSplit/>
        </w:trPr>
        <w:tc>
          <w:tcPr>
            <w:tcW w:w="1548" w:type="dxa"/>
            <w:tcBorders>
              <w:top w:val="single" w:sz="4" w:space="0" w:color="auto"/>
              <w:bottom w:val="single" w:sz="4" w:space="0" w:color="auto"/>
              <w:right w:val="single" w:sz="4" w:space="0" w:color="auto"/>
            </w:tcBorders>
          </w:tcPr>
          <w:p w14:paraId="50F2B5AF" w14:textId="77777777" w:rsidR="00B321EB" w:rsidRPr="00112138" w:rsidRDefault="00B321EB" w:rsidP="00E10163">
            <w:pPr>
              <w:pStyle w:val="Text"/>
              <w:spacing w:before="100" w:after="100"/>
              <w:rPr>
                <w:b/>
                <w:bCs/>
                <w:sz w:val="16"/>
                <w:szCs w:val="16"/>
              </w:rPr>
            </w:pPr>
            <w:r w:rsidRPr="00112138">
              <w:rPr>
                <w:b/>
                <w:bCs/>
                <w:sz w:val="16"/>
                <w:szCs w:val="16"/>
              </w:rPr>
              <w:t>Letter of compliance</w:t>
            </w:r>
          </w:p>
        </w:tc>
        <w:tc>
          <w:tcPr>
            <w:tcW w:w="4122" w:type="dxa"/>
            <w:tcBorders>
              <w:top w:val="single" w:sz="4" w:space="0" w:color="auto"/>
              <w:left w:val="single" w:sz="4" w:space="0" w:color="auto"/>
              <w:bottom w:val="single" w:sz="4" w:space="0" w:color="auto"/>
              <w:right w:val="single" w:sz="4" w:space="0" w:color="auto"/>
            </w:tcBorders>
          </w:tcPr>
          <w:p w14:paraId="0A30EA85" w14:textId="77777777" w:rsidR="00B321EB" w:rsidRPr="0015651E" w:rsidRDefault="00B321EB" w:rsidP="0017125F">
            <w:pPr>
              <w:pStyle w:val="Text"/>
              <w:numPr>
                <w:ilvl w:val="0"/>
                <w:numId w:val="14"/>
              </w:numPr>
              <w:tabs>
                <w:tab w:val="clear" w:pos="360"/>
                <w:tab w:val="num" w:pos="252"/>
              </w:tabs>
              <w:spacing w:before="100" w:after="100"/>
              <w:ind w:left="252" w:hanging="252"/>
              <w:rPr>
                <w:sz w:val="16"/>
                <w:szCs w:val="16"/>
              </w:rPr>
            </w:pPr>
            <w:r w:rsidRPr="0015651E">
              <w:rPr>
                <w:sz w:val="16"/>
                <w:szCs w:val="16"/>
              </w:rPr>
              <w:t>A letter of compliance from the accountable officer or statutory body to the relevant Minister/s</w:t>
            </w:r>
          </w:p>
        </w:tc>
        <w:tc>
          <w:tcPr>
            <w:tcW w:w="2268" w:type="dxa"/>
            <w:tcBorders>
              <w:top w:val="single" w:sz="4" w:space="0" w:color="auto"/>
              <w:left w:val="single" w:sz="4" w:space="0" w:color="auto"/>
              <w:bottom w:val="single" w:sz="4" w:space="0" w:color="auto"/>
            </w:tcBorders>
            <w:shd w:val="clear" w:color="auto" w:fill="auto"/>
          </w:tcPr>
          <w:p w14:paraId="11A1B208" w14:textId="77777777" w:rsidR="00B321EB" w:rsidRPr="00112138" w:rsidRDefault="00B321EB" w:rsidP="00E10163">
            <w:pPr>
              <w:pStyle w:val="Text"/>
              <w:spacing w:before="100" w:after="100"/>
              <w:rPr>
                <w:sz w:val="16"/>
                <w:szCs w:val="16"/>
              </w:rPr>
            </w:pPr>
            <w:r w:rsidRPr="00155C01">
              <w:rPr>
                <w:sz w:val="16"/>
                <w:szCs w:val="16"/>
              </w:rPr>
              <w:t>ARRs</w:t>
            </w:r>
            <w:r w:rsidRPr="00155C01">
              <w:rPr>
                <w:i/>
                <w:sz w:val="16"/>
                <w:szCs w:val="16"/>
              </w:rPr>
              <w:t xml:space="preserve"> – </w:t>
            </w:r>
            <w:r w:rsidRPr="00155C01">
              <w:rPr>
                <w:sz w:val="16"/>
                <w:szCs w:val="16"/>
              </w:rPr>
              <w:t xml:space="preserve">section </w:t>
            </w:r>
            <w:r>
              <w:rPr>
                <w:sz w:val="16"/>
                <w:szCs w:val="16"/>
              </w:rPr>
              <w:t>7</w:t>
            </w:r>
          </w:p>
        </w:tc>
        <w:tc>
          <w:tcPr>
            <w:tcW w:w="1654" w:type="dxa"/>
            <w:tcBorders>
              <w:top w:val="single" w:sz="4" w:space="0" w:color="auto"/>
              <w:left w:val="single" w:sz="4" w:space="0" w:color="auto"/>
              <w:bottom w:val="single" w:sz="4" w:space="0" w:color="auto"/>
            </w:tcBorders>
            <w:shd w:val="clear" w:color="auto" w:fill="auto"/>
          </w:tcPr>
          <w:p w14:paraId="03379BDA" w14:textId="77777777" w:rsidR="00B321EB" w:rsidRPr="00112138" w:rsidRDefault="00815471" w:rsidP="00E10163">
            <w:pPr>
              <w:pStyle w:val="Text"/>
              <w:spacing w:before="100" w:after="100"/>
              <w:jc w:val="center"/>
              <w:rPr>
                <w:sz w:val="16"/>
                <w:szCs w:val="16"/>
              </w:rPr>
            </w:pPr>
            <w:r>
              <w:rPr>
                <w:sz w:val="16"/>
                <w:szCs w:val="16"/>
              </w:rPr>
              <w:t>ii</w:t>
            </w:r>
          </w:p>
        </w:tc>
      </w:tr>
      <w:tr w:rsidR="00B321EB" w:rsidRPr="00112138" w14:paraId="0D33E350" w14:textId="77777777" w:rsidTr="00E10163">
        <w:trPr>
          <w:cantSplit/>
        </w:trPr>
        <w:tc>
          <w:tcPr>
            <w:tcW w:w="1548" w:type="dxa"/>
            <w:vMerge w:val="restart"/>
            <w:tcBorders>
              <w:top w:val="single" w:sz="4" w:space="0" w:color="auto"/>
              <w:right w:val="single" w:sz="4" w:space="0" w:color="auto"/>
            </w:tcBorders>
          </w:tcPr>
          <w:p w14:paraId="6D408D17" w14:textId="77777777" w:rsidR="00B321EB" w:rsidRPr="00112138" w:rsidRDefault="00B321EB" w:rsidP="00E10163">
            <w:pPr>
              <w:pStyle w:val="Text"/>
              <w:spacing w:before="100" w:after="100"/>
              <w:rPr>
                <w:b/>
                <w:bCs/>
                <w:sz w:val="16"/>
                <w:szCs w:val="16"/>
              </w:rPr>
            </w:pPr>
            <w:r w:rsidRPr="00112138">
              <w:rPr>
                <w:b/>
                <w:bCs/>
                <w:sz w:val="16"/>
                <w:szCs w:val="16"/>
              </w:rPr>
              <w:t>Accessibility</w:t>
            </w:r>
          </w:p>
        </w:tc>
        <w:tc>
          <w:tcPr>
            <w:tcW w:w="4122" w:type="dxa"/>
            <w:tcBorders>
              <w:top w:val="single" w:sz="4" w:space="0" w:color="auto"/>
              <w:left w:val="single" w:sz="4" w:space="0" w:color="auto"/>
              <w:bottom w:val="single" w:sz="4" w:space="0" w:color="auto"/>
              <w:right w:val="single" w:sz="4" w:space="0" w:color="auto"/>
            </w:tcBorders>
          </w:tcPr>
          <w:p w14:paraId="6071A388" w14:textId="77777777" w:rsidR="00B321EB" w:rsidRPr="0015651E" w:rsidRDefault="00B321EB" w:rsidP="0017125F">
            <w:pPr>
              <w:pStyle w:val="Text"/>
              <w:numPr>
                <w:ilvl w:val="0"/>
                <w:numId w:val="14"/>
              </w:numPr>
              <w:tabs>
                <w:tab w:val="clear" w:pos="360"/>
                <w:tab w:val="num" w:pos="252"/>
              </w:tabs>
              <w:spacing w:before="100" w:after="100"/>
              <w:ind w:left="252" w:hanging="252"/>
              <w:rPr>
                <w:sz w:val="16"/>
                <w:szCs w:val="16"/>
              </w:rPr>
            </w:pPr>
            <w:r w:rsidRPr="0015651E">
              <w:rPr>
                <w:sz w:val="16"/>
                <w:szCs w:val="16"/>
              </w:rPr>
              <w:t>Table of contents</w:t>
            </w:r>
          </w:p>
          <w:p w14:paraId="029B709A" w14:textId="77777777" w:rsidR="00B321EB" w:rsidRPr="0015651E" w:rsidRDefault="0015651E" w:rsidP="0017125F">
            <w:pPr>
              <w:pStyle w:val="Text"/>
              <w:numPr>
                <w:ilvl w:val="0"/>
                <w:numId w:val="14"/>
              </w:numPr>
              <w:tabs>
                <w:tab w:val="clear" w:pos="360"/>
                <w:tab w:val="num" w:pos="252"/>
              </w:tabs>
              <w:spacing w:before="100" w:after="100"/>
              <w:ind w:left="252" w:hanging="252"/>
              <w:rPr>
                <w:sz w:val="16"/>
                <w:szCs w:val="16"/>
              </w:rPr>
            </w:pPr>
            <w:r w:rsidRPr="0015651E">
              <w:rPr>
                <w:sz w:val="16"/>
                <w:szCs w:val="16"/>
              </w:rPr>
              <w:t>Acronyms</w:t>
            </w:r>
          </w:p>
        </w:tc>
        <w:tc>
          <w:tcPr>
            <w:tcW w:w="2268" w:type="dxa"/>
            <w:tcBorders>
              <w:top w:val="single" w:sz="4" w:space="0" w:color="auto"/>
              <w:left w:val="single" w:sz="4" w:space="0" w:color="auto"/>
              <w:bottom w:val="single" w:sz="4" w:space="0" w:color="auto"/>
            </w:tcBorders>
            <w:shd w:val="clear" w:color="auto" w:fill="auto"/>
          </w:tcPr>
          <w:p w14:paraId="203B6F68" w14:textId="77777777" w:rsidR="00B321EB" w:rsidRPr="00112138" w:rsidRDefault="00B321EB" w:rsidP="00E10163">
            <w:pPr>
              <w:pStyle w:val="Text"/>
              <w:spacing w:before="100" w:after="100"/>
              <w:rPr>
                <w:sz w:val="16"/>
                <w:szCs w:val="16"/>
              </w:rPr>
            </w:pPr>
            <w:r w:rsidRPr="00112138">
              <w:rPr>
                <w:sz w:val="16"/>
                <w:szCs w:val="16"/>
              </w:rPr>
              <w:t xml:space="preserve">ARRs – </w:t>
            </w:r>
            <w:r>
              <w:rPr>
                <w:sz w:val="16"/>
                <w:szCs w:val="16"/>
              </w:rPr>
              <w:t>section 9</w:t>
            </w:r>
            <w:r w:rsidRPr="00562CEA">
              <w:rPr>
                <w:sz w:val="16"/>
                <w:szCs w:val="16"/>
              </w:rPr>
              <w:t>.1</w:t>
            </w:r>
          </w:p>
        </w:tc>
        <w:tc>
          <w:tcPr>
            <w:tcW w:w="1654" w:type="dxa"/>
            <w:tcBorders>
              <w:top w:val="single" w:sz="4" w:space="0" w:color="auto"/>
              <w:left w:val="single" w:sz="4" w:space="0" w:color="auto"/>
              <w:bottom w:val="single" w:sz="4" w:space="0" w:color="auto"/>
            </w:tcBorders>
            <w:shd w:val="clear" w:color="auto" w:fill="auto"/>
          </w:tcPr>
          <w:p w14:paraId="232DA9C0" w14:textId="77777777" w:rsidR="00B321EB" w:rsidRDefault="00815471" w:rsidP="00E10163">
            <w:pPr>
              <w:pStyle w:val="Text"/>
              <w:spacing w:before="100" w:after="100"/>
              <w:jc w:val="center"/>
              <w:rPr>
                <w:sz w:val="16"/>
                <w:szCs w:val="16"/>
              </w:rPr>
            </w:pPr>
            <w:r>
              <w:rPr>
                <w:sz w:val="16"/>
                <w:szCs w:val="16"/>
              </w:rPr>
              <w:t>1</w:t>
            </w:r>
          </w:p>
          <w:p w14:paraId="29D5E160" w14:textId="77777777" w:rsidR="00815471" w:rsidRPr="00112138" w:rsidRDefault="00815471" w:rsidP="00E10163">
            <w:pPr>
              <w:pStyle w:val="Text"/>
              <w:spacing w:before="100" w:after="100"/>
              <w:jc w:val="center"/>
              <w:rPr>
                <w:sz w:val="16"/>
                <w:szCs w:val="16"/>
              </w:rPr>
            </w:pPr>
            <w:r>
              <w:rPr>
                <w:sz w:val="16"/>
                <w:szCs w:val="16"/>
              </w:rPr>
              <w:t>55-56</w:t>
            </w:r>
          </w:p>
        </w:tc>
      </w:tr>
      <w:tr w:rsidR="00B321EB" w:rsidRPr="00112138" w14:paraId="63CE6265" w14:textId="77777777" w:rsidTr="00E10163">
        <w:trPr>
          <w:cantSplit/>
        </w:trPr>
        <w:tc>
          <w:tcPr>
            <w:tcW w:w="1548" w:type="dxa"/>
            <w:vMerge/>
            <w:tcBorders>
              <w:right w:val="single" w:sz="4" w:space="0" w:color="auto"/>
            </w:tcBorders>
          </w:tcPr>
          <w:p w14:paraId="1AA439D3" w14:textId="77777777" w:rsidR="00B321EB" w:rsidRPr="00112138" w:rsidRDefault="00B321EB" w:rsidP="00E10163">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294B0B40" w14:textId="77777777" w:rsidR="00B321EB" w:rsidRPr="0015651E" w:rsidRDefault="00B321EB" w:rsidP="0017125F">
            <w:pPr>
              <w:pStyle w:val="Text"/>
              <w:numPr>
                <w:ilvl w:val="0"/>
                <w:numId w:val="14"/>
              </w:numPr>
              <w:tabs>
                <w:tab w:val="clear" w:pos="360"/>
                <w:tab w:val="num" w:pos="252"/>
              </w:tabs>
              <w:spacing w:before="100" w:after="100"/>
              <w:ind w:left="252" w:hanging="252"/>
              <w:rPr>
                <w:sz w:val="16"/>
                <w:szCs w:val="16"/>
              </w:rPr>
            </w:pPr>
            <w:r w:rsidRPr="0015651E">
              <w:rPr>
                <w:sz w:val="16"/>
                <w:szCs w:val="16"/>
              </w:rPr>
              <w:t>Public availability</w:t>
            </w:r>
          </w:p>
        </w:tc>
        <w:tc>
          <w:tcPr>
            <w:tcW w:w="2268" w:type="dxa"/>
            <w:tcBorders>
              <w:top w:val="single" w:sz="4" w:space="0" w:color="auto"/>
              <w:left w:val="single" w:sz="4" w:space="0" w:color="auto"/>
              <w:bottom w:val="single" w:sz="4" w:space="0" w:color="auto"/>
            </w:tcBorders>
            <w:shd w:val="clear" w:color="auto" w:fill="auto"/>
          </w:tcPr>
          <w:p w14:paraId="3EFB678C" w14:textId="77777777" w:rsidR="00B321EB" w:rsidRPr="00112138" w:rsidRDefault="00B321EB" w:rsidP="00E10163">
            <w:pPr>
              <w:pStyle w:val="Text"/>
              <w:spacing w:before="100" w:after="100"/>
              <w:rPr>
                <w:sz w:val="16"/>
                <w:szCs w:val="16"/>
              </w:rPr>
            </w:pPr>
            <w:r w:rsidRPr="00112138">
              <w:rPr>
                <w:sz w:val="16"/>
                <w:szCs w:val="16"/>
              </w:rPr>
              <w:t xml:space="preserve">ARRs – </w:t>
            </w:r>
            <w:r>
              <w:rPr>
                <w:sz w:val="16"/>
                <w:szCs w:val="16"/>
              </w:rPr>
              <w:t>section 9</w:t>
            </w:r>
            <w:r w:rsidRPr="00562CEA">
              <w:rPr>
                <w:sz w:val="16"/>
                <w:szCs w:val="16"/>
              </w:rPr>
              <w:t>.2</w:t>
            </w:r>
          </w:p>
        </w:tc>
        <w:tc>
          <w:tcPr>
            <w:tcW w:w="1654" w:type="dxa"/>
            <w:tcBorders>
              <w:top w:val="single" w:sz="4" w:space="0" w:color="auto"/>
              <w:left w:val="single" w:sz="4" w:space="0" w:color="auto"/>
              <w:bottom w:val="single" w:sz="4" w:space="0" w:color="auto"/>
            </w:tcBorders>
            <w:shd w:val="clear" w:color="auto" w:fill="auto"/>
          </w:tcPr>
          <w:p w14:paraId="4DC042C5" w14:textId="77777777" w:rsidR="00B321EB" w:rsidRPr="00112138" w:rsidRDefault="00815471" w:rsidP="00E10163">
            <w:pPr>
              <w:pStyle w:val="Text"/>
              <w:spacing w:before="100" w:after="100"/>
              <w:jc w:val="center"/>
              <w:rPr>
                <w:sz w:val="16"/>
                <w:szCs w:val="16"/>
              </w:rPr>
            </w:pPr>
            <w:r>
              <w:rPr>
                <w:sz w:val="16"/>
                <w:szCs w:val="16"/>
              </w:rPr>
              <w:t>i</w:t>
            </w:r>
          </w:p>
        </w:tc>
      </w:tr>
      <w:tr w:rsidR="00B321EB" w:rsidRPr="00112138" w14:paraId="09F31009" w14:textId="77777777" w:rsidTr="00E10163">
        <w:trPr>
          <w:cantSplit/>
        </w:trPr>
        <w:tc>
          <w:tcPr>
            <w:tcW w:w="1548" w:type="dxa"/>
            <w:vMerge/>
            <w:tcBorders>
              <w:right w:val="single" w:sz="4" w:space="0" w:color="auto"/>
            </w:tcBorders>
          </w:tcPr>
          <w:p w14:paraId="7FA1ACEE" w14:textId="77777777" w:rsidR="00B321EB" w:rsidRPr="00112138" w:rsidRDefault="00B321EB" w:rsidP="00E10163">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78742A68" w14:textId="77777777" w:rsidR="00B321EB" w:rsidRPr="0015651E" w:rsidRDefault="00B321EB" w:rsidP="0017125F">
            <w:pPr>
              <w:pStyle w:val="Text"/>
              <w:numPr>
                <w:ilvl w:val="0"/>
                <w:numId w:val="14"/>
              </w:numPr>
              <w:tabs>
                <w:tab w:val="clear" w:pos="360"/>
                <w:tab w:val="num" w:pos="252"/>
              </w:tabs>
              <w:spacing w:before="100" w:after="100"/>
              <w:ind w:left="252" w:hanging="252"/>
              <w:rPr>
                <w:sz w:val="16"/>
                <w:szCs w:val="16"/>
              </w:rPr>
            </w:pPr>
            <w:r w:rsidRPr="0015651E">
              <w:rPr>
                <w:sz w:val="16"/>
                <w:szCs w:val="16"/>
              </w:rPr>
              <w:t>Interpreter service statement</w:t>
            </w:r>
          </w:p>
        </w:tc>
        <w:tc>
          <w:tcPr>
            <w:tcW w:w="2268" w:type="dxa"/>
            <w:tcBorders>
              <w:top w:val="single" w:sz="4" w:space="0" w:color="auto"/>
              <w:left w:val="single" w:sz="4" w:space="0" w:color="auto"/>
              <w:bottom w:val="single" w:sz="4" w:space="0" w:color="auto"/>
            </w:tcBorders>
            <w:shd w:val="clear" w:color="auto" w:fill="auto"/>
          </w:tcPr>
          <w:p w14:paraId="1B8BD30A" w14:textId="77777777" w:rsidR="00B321EB" w:rsidRDefault="00B321EB" w:rsidP="00E10163">
            <w:pPr>
              <w:pStyle w:val="Text"/>
              <w:spacing w:before="100" w:after="100"/>
              <w:rPr>
                <w:i/>
                <w:sz w:val="16"/>
                <w:szCs w:val="16"/>
              </w:rPr>
            </w:pPr>
            <w:r w:rsidRPr="00112138">
              <w:rPr>
                <w:i/>
                <w:sz w:val="16"/>
                <w:szCs w:val="16"/>
              </w:rPr>
              <w:t>Queensland Government Language Services Policy</w:t>
            </w:r>
          </w:p>
          <w:p w14:paraId="5E2BF8D4" w14:textId="77777777" w:rsidR="00B321EB" w:rsidRPr="00EC47B7" w:rsidRDefault="00B321EB" w:rsidP="00E10163">
            <w:pPr>
              <w:pStyle w:val="Text"/>
              <w:spacing w:before="100" w:after="100"/>
              <w:rPr>
                <w:sz w:val="16"/>
                <w:szCs w:val="16"/>
              </w:rPr>
            </w:pPr>
            <w:r>
              <w:rPr>
                <w:sz w:val="16"/>
                <w:szCs w:val="16"/>
              </w:rPr>
              <w:t>ARRs – section 9.3</w:t>
            </w:r>
          </w:p>
        </w:tc>
        <w:tc>
          <w:tcPr>
            <w:tcW w:w="1654" w:type="dxa"/>
            <w:tcBorders>
              <w:top w:val="single" w:sz="4" w:space="0" w:color="auto"/>
              <w:left w:val="single" w:sz="4" w:space="0" w:color="auto"/>
              <w:bottom w:val="single" w:sz="4" w:space="0" w:color="auto"/>
            </w:tcBorders>
            <w:shd w:val="clear" w:color="auto" w:fill="auto"/>
          </w:tcPr>
          <w:p w14:paraId="57F5C0D2" w14:textId="77777777" w:rsidR="00B321EB" w:rsidRPr="00112138" w:rsidRDefault="00815471" w:rsidP="00E10163">
            <w:pPr>
              <w:pStyle w:val="Text"/>
              <w:spacing w:before="100" w:after="100"/>
              <w:jc w:val="center"/>
              <w:rPr>
                <w:sz w:val="16"/>
                <w:szCs w:val="16"/>
              </w:rPr>
            </w:pPr>
            <w:r>
              <w:rPr>
                <w:sz w:val="16"/>
                <w:szCs w:val="16"/>
              </w:rPr>
              <w:t>i</w:t>
            </w:r>
          </w:p>
        </w:tc>
      </w:tr>
      <w:tr w:rsidR="00B321EB" w:rsidRPr="00112138" w14:paraId="642A9924" w14:textId="77777777" w:rsidTr="00E10163">
        <w:trPr>
          <w:cantSplit/>
        </w:trPr>
        <w:tc>
          <w:tcPr>
            <w:tcW w:w="1548" w:type="dxa"/>
            <w:vMerge/>
            <w:tcBorders>
              <w:right w:val="single" w:sz="4" w:space="0" w:color="auto"/>
            </w:tcBorders>
          </w:tcPr>
          <w:p w14:paraId="4CBAD148" w14:textId="77777777" w:rsidR="00B321EB" w:rsidRPr="00112138" w:rsidRDefault="00B321EB" w:rsidP="00E10163">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35FB90D9" w14:textId="77777777" w:rsidR="00B321EB" w:rsidRPr="0015651E" w:rsidRDefault="00B321EB" w:rsidP="0017125F">
            <w:pPr>
              <w:pStyle w:val="Text"/>
              <w:numPr>
                <w:ilvl w:val="0"/>
                <w:numId w:val="14"/>
              </w:numPr>
              <w:tabs>
                <w:tab w:val="clear" w:pos="360"/>
                <w:tab w:val="num" w:pos="252"/>
              </w:tabs>
              <w:spacing w:before="100" w:after="100"/>
              <w:ind w:left="252" w:hanging="252"/>
              <w:rPr>
                <w:sz w:val="16"/>
                <w:szCs w:val="16"/>
              </w:rPr>
            </w:pPr>
            <w:r w:rsidRPr="0015651E">
              <w:rPr>
                <w:sz w:val="16"/>
                <w:szCs w:val="16"/>
              </w:rPr>
              <w:t>Copyright notice</w:t>
            </w:r>
          </w:p>
        </w:tc>
        <w:tc>
          <w:tcPr>
            <w:tcW w:w="2268" w:type="dxa"/>
            <w:tcBorders>
              <w:top w:val="single" w:sz="4" w:space="0" w:color="auto"/>
              <w:left w:val="single" w:sz="4" w:space="0" w:color="auto"/>
              <w:bottom w:val="single" w:sz="4" w:space="0" w:color="auto"/>
            </w:tcBorders>
            <w:shd w:val="clear" w:color="auto" w:fill="auto"/>
          </w:tcPr>
          <w:p w14:paraId="0EF09892" w14:textId="77777777" w:rsidR="00B321EB" w:rsidRDefault="00B321EB" w:rsidP="00E10163">
            <w:pPr>
              <w:pStyle w:val="Text"/>
              <w:spacing w:before="100" w:after="100"/>
              <w:rPr>
                <w:i/>
                <w:sz w:val="16"/>
                <w:szCs w:val="16"/>
              </w:rPr>
            </w:pPr>
            <w:r w:rsidRPr="00D66B0B">
              <w:rPr>
                <w:i/>
                <w:sz w:val="16"/>
                <w:szCs w:val="16"/>
              </w:rPr>
              <w:t>Copyright Act 1968</w:t>
            </w:r>
          </w:p>
          <w:p w14:paraId="3F19D44F" w14:textId="77777777" w:rsidR="00B321EB" w:rsidRPr="00EC47B7" w:rsidRDefault="00B321EB" w:rsidP="00E10163">
            <w:pPr>
              <w:pStyle w:val="Text"/>
              <w:spacing w:before="100" w:after="100"/>
              <w:rPr>
                <w:sz w:val="16"/>
                <w:szCs w:val="16"/>
              </w:rPr>
            </w:pPr>
            <w:r>
              <w:rPr>
                <w:sz w:val="16"/>
                <w:szCs w:val="16"/>
              </w:rPr>
              <w:t>ARRs – section 9.4</w:t>
            </w:r>
          </w:p>
        </w:tc>
        <w:tc>
          <w:tcPr>
            <w:tcW w:w="1654" w:type="dxa"/>
            <w:tcBorders>
              <w:top w:val="single" w:sz="4" w:space="0" w:color="auto"/>
              <w:left w:val="single" w:sz="4" w:space="0" w:color="auto"/>
              <w:bottom w:val="single" w:sz="4" w:space="0" w:color="auto"/>
            </w:tcBorders>
            <w:shd w:val="clear" w:color="auto" w:fill="auto"/>
          </w:tcPr>
          <w:p w14:paraId="5CF2A82C" w14:textId="77777777" w:rsidR="00B321EB" w:rsidRPr="00112138" w:rsidRDefault="00815471" w:rsidP="00E10163">
            <w:pPr>
              <w:pStyle w:val="Text"/>
              <w:spacing w:before="100" w:after="100"/>
              <w:jc w:val="center"/>
              <w:rPr>
                <w:sz w:val="16"/>
                <w:szCs w:val="16"/>
              </w:rPr>
            </w:pPr>
            <w:r>
              <w:rPr>
                <w:sz w:val="16"/>
                <w:szCs w:val="16"/>
              </w:rPr>
              <w:t>i</w:t>
            </w:r>
          </w:p>
        </w:tc>
      </w:tr>
      <w:tr w:rsidR="00B321EB" w:rsidRPr="00112138" w14:paraId="5D751E6A" w14:textId="77777777" w:rsidTr="00E10163">
        <w:trPr>
          <w:cantSplit/>
        </w:trPr>
        <w:tc>
          <w:tcPr>
            <w:tcW w:w="1548" w:type="dxa"/>
            <w:vMerge/>
            <w:tcBorders>
              <w:bottom w:val="single" w:sz="4" w:space="0" w:color="auto"/>
              <w:right w:val="single" w:sz="4" w:space="0" w:color="auto"/>
            </w:tcBorders>
          </w:tcPr>
          <w:p w14:paraId="5141EF44" w14:textId="77777777" w:rsidR="00B321EB" w:rsidRPr="00112138" w:rsidRDefault="00B321EB" w:rsidP="00E10163">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6984E0D6" w14:textId="77777777" w:rsidR="00B321EB" w:rsidRPr="0015651E" w:rsidRDefault="00B321EB" w:rsidP="0017125F">
            <w:pPr>
              <w:pStyle w:val="Text"/>
              <w:numPr>
                <w:ilvl w:val="0"/>
                <w:numId w:val="14"/>
              </w:numPr>
              <w:tabs>
                <w:tab w:val="clear" w:pos="360"/>
                <w:tab w:val="num" w:pos="252"/>
              </w:tabs>
              <w:spacing w:before="100" w:after="100"/>
              <w:ind w:left="252" w:hanging="252"/>
              <w:rPr>
                <w:sz w:val="16"/>
                <w:szCs w:val="16"/>
              </w:rPr>
            </w:pPr>
            <w:r w:rsidRPr="0015651E">
              <w:rPr>
                <w:sz w:val="16"/>
                <w:szCs w:val="16"/>
              </w:rPr>
              <w:t>Information Licensing</w:t>
            </w:r>
          </w:p>
        </w:tc>
        <w:tc>
          <w:tcPr>
            <w:tcW w:w="2268" w:type="dxa"/>
            <w:tcBorders>
              <w:top w:val="single" w:sz="4" w:space="0" w:color="auto"/>
              <w:left w:val="single" w:sz="4" w:space="0" w:color="auto"/>
              <w:bottom w:val="single" w:sz="4" w:space="0" w:color="auto"/>
            </w:tcBorders>
            <w:shd w:val="clear" w:color="auto" w:fill="auto"/>
          </w:tcPr>
          <w:p w14:paraId="29B2697B" w14:textId="77777777" w:rsidR="00B321EB" w:rsidRPr="00207624" w:rsidRDefault="00B321EB" w:rsidP="00E10163">
            <w:pPr>
              <w:pStyle w:val="Text"/>
              <w:spacing w:before="100" w:after="100"/>
              <w:rPr>
                <w:i/>
                <w:sz w:val="16"/>
                <w:szCs w:val="16"/>
              </w:rPr>
            </w:pPr>
            <w:r w:rsidRPr="00B34006">
              <w:rPr>
                <w:i/>
                <w:sz w:val="16"/>
                <w:szCs w:val="16"/>
              </w:rPr>
              <w:t>Q</w:t>
            </w:r>
            <w:r w:rsidR="00FA76A3">
              <w:rPr>
                <w:i/>
                <w:sz w:val="16"/>
                <w:szCs w:val="16"/>
              </w:rPr>
              <w:t xml:space="preserve">ueensland </w:t>
            </w:r>
            <w:r w:rsidRPr="00B34006">
              <w:rPr>
                <w:i/>
                <w:sz w:val="16"/>
                <w:szCs w:val="16"/>
              </w:rPr>
              <w:t>G</w:t>
            </w:r>
            <w:r w:rsidR="00FA76A3">
              <w:rPr>
                <w:i/>
                <w:sz w:val="16"/>
                <w:szCs w:val="16"/>
              </w:rPr>
              <w:t xml:space="preserve">overnment </w:t>
            </w:r>
            <w:r w:rsidRPr="00B34006">
              <w:rPr>
                <w:i/>
                <w:sz w:val="16"/>
                <w:szCs w:val="16"/>
              </w:rPr>
              <w:t>E</w:t>
            </w:r>
            <w:r w:rsidR="00FA76A3">
              <w:rPr>
                <w:i/>
                <w:sz w:val="16"/>
                <w:szCs w:val="16"/>
              </w:rPr>
              <w:t xml:space="preserve">nterprise </w:t>
            </w:r>
            <w:r w:rsidRPr="00B34006">
              <w:rPr>
                <w:i/>
                <w:sz w:val="16"/>
                <w:szCs w:val="16"/>
              </w:rPr>
              <w:t>A</w:t>
            </w:r>
            <w:r w:rsidR="00FA76A3">
              <w:rPr>
                <w:i/>
                <w:sz w:val="16"/>
                <w:szCs w:val="16"/>
              </w:rPr>
              <w:t>rchitecture</w:t>
            </w:r>
            <w:r w:rsidRPr="00B34006">
              <w:rPr>
                <w:i/>
                <w:sz w:val="16"/>
                <w:szCs w:val="16"/>
              </w:rPr>
              <w:t xml:space="preserve"> – Information Licensing</w:t>
            </w:r>
          </w:p>
          <w:p w14:paraId="3C855133" w14:textId="77777777" w:rsidR="00B321EB" w:rsidRPr="00EC47B7" w:rsidRDefault="00B321EB" w:rsidP="00E10163">
            <w:pPr>
              <w:pStyle w:val="Text"/>
              <w:spacing w:before="100" w:after="100"/>
              <w:rPr>
                <w:sz w:val="16"/>
                <w:szCs w:val="16"/>
              </w:rPr>
            </w:pPr>
            <w:r>
              <w:rPr>
                <w:sz w:val="16"/>
                <w:szCs w:val="16"/>
              </w:rPr>
              <w:t>ARRs – section 9.5</w:t>
            </w:r>
          </w:p>
        </w:tc>
        <w:tc>
          <w:tcPr>
            <w:tcW w:w="1654" w:type="dxa"/>
            <w:tcBorders>
              <w:top w:val="single" w:sz="4" w:space="0" w:color="auto"/>
              <w:left w:val="single" w:sz="4" w:space="0" w:color="auto"/>
              <w:bottom w:val="single" w:sz="4" w:space="0" w:color="auto"/>
            </w:tcBorders>
            <w:shd w:val="clear" w:color="auto" w:fill="auto"/>
          </w:tcPr>
          <w:p w14:paraId="6188F03C" w14:textId="77777777" w:rsidR="00B321EB" w:rsidRPr="00112138" w:rsidRDefault="00815471" w:rsidP="00E10163">
            <w:pPr>
              <w:pStyle w:val="Text"/>
              <w:spacing w:before="100" w:after="100"/>
              <w:jc w:val="center"/>
              <w:rPr>
                <w:sz w:val="16"/>
                <w:szCs w:val="16"/>
              </w:rPr>
            </w:pPr>
            <w:r>
              <w:rPr>
                <w:sz w:val="16"/>
                <w:szCs w:val="16"/>
              </w:rPr>
              <w:t>i</w:t>
            </w:r>
          </w:p>
        </w:tc>
      </w:tr>
      <w:tr w:rsidR="00B321EB" w:rsidRPr="00112138" w14:paraId="4FD2784D" w14:textId="77777777" w:rsidTr="00E10163">
        <w:trPr>
          <w:cantSplit/>
          <w:trHeight w:val="485"/>
        </w:trPr>
        <w:tc>
          <w:tcPr>
            <w:tcW w:w="1548" w:type="dxa"/>
            <w:vMerge w:val="restart"/>
            <w:tcBorders>
              <w:top w:val="single" w:sz="4" w:space="0" w:color="auto"/>
              <w:right w:val="single" w:sz="4" w:space="0" w:color="auto"/>
            </w:tcBorders>
          </w:tcPr>
          <w:p w14:paraId="711CA292" w14:textId="77777777" w:rsidR="00B321EB" w:rsidRPr="00112138" w:rsidRDefault="00B321EB" w:rsidP="00E10163">
            <w:pPr>
              <w:pStyle w:val="Text"/>
              <w:spacing w:before="100" w:after="100"/>
              <w:rPr>
                <w:b/>
                <w:bCs/>
                <w:sz w:val="16"/>
                <w:szCs w:val="16"/>
              </w:rPr>
            </w:pPr>
            <w:r w:rsidRPr="00112138">
              <w:rPr>
                <w:b/>
                <w:bCs/>
                <w:sz w:val="16"/>
                <w:szCs w:val="16"/>
              </w:rPr>
              <w:t>General information</w:t>
            </w:r>
          </w:p>
        </w:tc>
        <w:tc>
          <w:tcPr>
            <w:tcW w:w="4122" w:type="dxa"/>
            <w:tcBorders>
              <w:top w:val="single" w:sz="4" w:space="0" w:color="auto"/>
              <w:left w:val="single" w:sz="4" w:space="0" w:color="auto"/>
              <w:bottom w:val="single" w:sz="4" w:space="0" w:color="auto"/>
              <w:right w:val="single" w:sz="4" w:space="0" w:color="auto"/>
            </w:tcBorders>
          </w:tcPr>
          <w:p w14:paraId="7295A19D" w14:textId="77777777" w:rsidR="00B321EB" w:rsidRPr="0015651E" w:rsidRDefault="00B321EB" w:rsidP="0017125F">
            <w:pPr>
              <w:pStyle w:val="Text"/>
              <w:numPr>
                <w:ilvl w:val="0"/>
                <w:numId w:val="14"/>
              </w:numPr>
              <w:tabs>
                <w:tab w:val="clear" w:pos="360"/>
                <w:tab w:val="num" w:pos="252"/>
              </w:tabs>
              <w:spacing w:before="100" w:after="100"/>
              <w:ind w:left="252" w:hanging="252"/>
              <w:rPr>
                <w:sz w:val="16"/>
                <w:szCs w:val="16"/>
              </w:rPr>
            </w:pPr>
            <w:r w:rsidRPr="0015651E">
              <w:rPr>
                <w:sz w:val="16"/>
                <w:szCs w:val="16"/>
              </w:rPr>
              <w:t>Introductory</w:t>
            </w:r>
            <w:r w:rsidR="0015651E">
              <w:rPr>
                <w:sz w:val="16"/>
                <w:szCs w:val="16"/>
              </w:rPr>
              <w:t xml:space="preserve"> i</w:t>
            </w:r>
            <w:r w:rsidRPr="0015651E">
              <w:rPr>
                <w:sz w:val="16"/>
                <w:szCs w:val="16"/>
              </w:rPr>
              <w:t>nformation</w:t>
            </w:r>
          </w:p>
        </w:tc>
        <w:tc>
          <w:tcPr>
            <w:tcW w:w="2268" w:type="dxa"/>
            <w:tcBorders>
              <w:top w:val="single" w:sz="4" w:space="0" w:color="auto"/>
              <w:left w:val="single" w:sz="4" w:space="0" w:color="auto"/>
              <w:bottom w:val="single" w:sz="4" w:space="0" w:color="auto"/>
            </w:tcBorders>
            <w:shd w:val="clear" w:color="auto" w:fill="auto"/>
          </w:tcPr>
          <w:p w14:paraId="7165F77F" w14:textId="77777777" w:rsidR="00B321EB" w:rsidRPr="00C022DE" w:rsidRDefault="00B321EB" w:rsidP="00E10163">
            <w:pPr>
              <w:pStyle w:val="Text"/>
              <w:spacing w:before="100" w:after="100"/>
              <w:rPr>
                <w:sz w:val="16"/>
                <w:szCs w:val="16"/>
                <w:lang w:val="fr-FR"/>
              </w:rPr>
            </w:pPr>
            <w:r w:rsidRPr="00562CEA">
              <w:rPr>
                <w:sz w:val="16"/>
                <w:szCs w:val="16"/>
                <w:lang w:val="fr-FR"/>
              </w:rPr>
              <w:t xml:space="preserve">ARRs – section </w:t>
            </w:r>
            <w:r>
              <w:rPr>
                <w:sz w:val="16"/>
                <w:szCs w:val="16"/>
              </w:rPr>
              <w:t>10</w:t>
            </w:r>
            <w:r w:rsidRPr="00562CEA">
              <w:rPr>
                <w:sz w:val="16"/>
                <w:szCs w:val="16"/>
              </w:rPr>
              <w:t>.1</w:t>
            </w:r>
          </w:p>
        </w:tc>
        <w:tc>
          <w:tcPr>
            <w:tcW w:w="1654" w:type="dxa"/>
            <w:tcBorders>
              <w:top w:val="single" w:sz="4" w:space="0" w:color="auto"/>
              <w:left w:val="single" w:sz="4" w:space="0" w:color="auto"/>
              <w:bottom w:val="single" w:sz="4" w:space="0" w:color="auto"/>
            </w:tcBorders>
            <w:shd w:val="clear" w:color="auto" w:fill="auto"/>
          </w:tcPr>
          <w:p w14:paraId="6FD4BFE4" w14:textId="77777777" w:rsidR="00B321EB" w:rsidRPr="00112138" w:rsidRDefault="007251B3" w:rsidP="00E10163">
            <w:pPr>
              <w:pStyle w:val="Text"/>
              <w:spacing w:before="100" w:after="100"/>
              <w:jc w:val="center"/>
              <w:rPr>
                <w:sz w:val="16"/>
                <w:szCs w:val="16"/>
              </w:rPr>
            </w:pPr>
            <w:r>
              <w:rPr>
                <w:sz w:val="16"/>
                <w:szCs w:val="16"/>
              </w:rPr>
              <w:t>4-9</w:t>
            </w:r>
          </w:p>
        </w:tc>
      </w:tr>
      <w:tr w:rsidR="001974D5" w:rsidRPr="00112138" w14:paraId="77D05EE9" w14:textId="77777777" w:rsidTr="00E10163">
        <w:trPr>
          <w:cantSplit/>
        </w:trPr>
        <w:tc>
          <w:tcPr>
            <w:tcW w:w="1548" w:type="dxa"/>
            <w:vMerge/>
            <w:tcBorders>
              <w:right w:val="single" w:sz="4" w:space="0" w:color="auto"/>
            </w:tcBorders>
          </w:tcPr>
          <w:p w14:paraId="585E0028" w14:textId="77777777" w:rsidR="001974D5" w:rsidRPr="00112138" w:rsidRDefault="001974D5" w:rsidP="001974D5">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2938E4BC"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Pr>
                <w:sz w:val="16"/>
                <w:szCs w:val="16"/>
              </w:rPr>
              <w:t>Machinery-</w:t>
            </w:r>
            <w:r w:rsidRPr="0015651E">
              <w:rPr>
                <w:sz w:val="16"/>
                <w:szCs w:val="16"/>
              </w:rPr>
              <w:t>of</w:t>
            </w:r>
            <w:r>
              <w:rPr>
                <w:sz w:val="16"/>
                <w:szCs w:val="16"/>
              </w:rPr>
              <w:t>-g</w:t>
            </w:r>
            <w:r w:rsidRPr="0015651E">
              <w:rPr>
                <w:sz w:val="16"/>
                <w:szCs w:val="16"/>
              </w:rPr>
              <w:t>overnment changes</w:t>
            </w:r>
          </w:p>
        </w:tc>
        <w:tc>
          <w:tcPr>
            <w:tcW w:w="2268" w:type="dxa"/>
            <w:tcBorders>
              <w:top w:val="single" w:sz="4" w:space="0" w:color="auto"/>
              <w:left w:val="single" w:sz="4" w:space="0" w:color="auto"/>
              <w:bottom w:val="single" w:sz="4" w:space="0" w:color="auto"/>
            </w:tcBorders>
            <w:shd w:val="clear" w:color="auto" w:fill="auto"/>
          </w:tcPr>
          <w:p w14:paraId="06ABD0D9" w14:textId="77777777" w:rsidR="001974D5" w:rsidRPr="00562CEA" w:rsidRDefault="001974D5" w:rsidP="001974D5">
            <w:pPr>
              <w:pStyle w:val="Text"/>
              <w:spacing w:before="100" w:after="100"/>
              <w:rPr>
                <w:sz w:val="16"/>
                <w:szCs w:val="16"/>
                <w:lang w:val="fr-FR"/>
              </w:rPr>
            </w:pPr>
            <w:r>
              <w:rPr>
                <w:sz w:val="16"/>
                <w:szCs w:val="16"/>
                <w:lang w:val="fr-FR"/>
              </w:rPr>
              <w:t>ARRs – section 31 and 32</w:t>
            </w:r>
          </w:p>
        </w:tc>
        <w:tc>
          <w:tcPr>
            <w:tcW w:w="1654" w:type="dxa"/>
            <w:tcBorders>
              <w:top w:val="single" w:sz="4" w:space="0" w:color="auto"/>
              <w:left w:val="single" w:sz="4" w:space="0" w:color="auto"/>
              <w:bottom w:val="single" w:sz="4" w:space="0" w:color="auto"/>
            </w:tcBorders>
            <w:shd w:val="clear" w:color="auto" w:fill="auto"/>
          </w:tcPr>
          <w:p w14:paraId="0877D26D" w14:textId="77777777" w:rsidR="001974D5" w:rsidRPr="00112138" w:rsidRDefault="001974D5" w:rsidP="001974D5">
            <w:pPr>
              <w:pStyle w:val="Text"/>
              <w:spacing w:before="100" w:after="100"/>
              <w:jc w:val="center"/>
              <w:rPr>
                <w:sz w:val="16"/>
                <w:szCs w:val="16"/>
              </w:rPr>
            </w:pPr>
            <w:r>
              <w:rPr>
                <w:sz w:val="16"/>
                <w:szCs w:val="16"/>
              </w:rPr>
              <w:t>Not applicable</w:t>
            </w:r>
          </w:p>
        </w:tc>
      </w:tr>
      <w:tr w:rsidR="001974D5" w:rsidRPr="00112138" w14:paraId="3F421CD0" w14:textId="77777777" w:rsidTr="00E10163">
        <w:trPr>
          <w:cantSplit/>
        </w:trPr>
        <w:tc>
          <w:tcPr>
            <w:tcW w:w="1548" w:type="dxa"/>
            <w:vMerge/>
            <w:tcBorders>
              <w:right w:val="single" w:sz="4" w:space="0" w:color="auto"/>
            </w:tcBorders>
          </w:tcPr>
          <w:p w14:paraId="0FD5FD25" w14:textId="77777777" w:rsidR="001974D5" w:rsidRPr="00112138" w:rsidRDefault="001974D5" w:rsidP="001974D5">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1F5D2885"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Agency role and main functions</w:t>
            </w:r>
          </w:p>
        </w:tc>
        <w:tc>
          <w:tcPr>
            <w:tcW w:w="2268" w:type="dxa"/>
            <w:tcBorders>
              <w:top w:val="single" w:sz="4" w:space="0" w:color="auto"/>
              <w:left w:val="single" w:sz="4" w:space="0" w:color="auto"/>
              <w:bottom w:val="single" w:sz="4" w:space="0" w:color="auto"/>
            </w:tcBorders>
            <w:shd w:val="clear" w:color="auto" w:fill="auto"/>
          </w:tcPr>
          <w:p w14:paraId="53E83302" w14:textId="77777777" w:rsidR="001974D5" w:rsidRPr="00562CEA" w:rsidRDefault="001974D5" w:rsidP="001974D5">
            <w:pPr>
              <w:pStyle w:val="Text"/>
              <w:spacing w:before="100" w:after="100"/>
              <w:rPr>
                <w:sz w:val="16"/>
                <w:szCs w:val="16"/>
                <w:lang w:val="fr-FR"/>
              </w:rPr>
            </w:pPr>
            <w:r w:rsidRPr="00562CEA">
              <w:rPr>
                <w:sz w:val="16"/>
                <w:szCs w:val="16"/>
                <w:lang w:val="fr-FR"/>
              </w:rPr>
              <w:t xml:space="preserve">ARRs – section </w:t>
            </w:r>
            <w:r>
              <w:rPr>
                <w:sz w:val="16"/>
                <w:szCs w:val="16"/>
              </w:rPr>
              <w:t>10</w:t>
            </w:r>
            <w:r w:rsidRPr="00562CEA">
              <w:rPr>
                <w:sz w:val="16"/>
                <w:szCs w:val="16"/>
              </w:rPr>
              <w:t>.2</w:t>
            </w:r>
          </w:p>
        </w:tc>
        <w:tc>
          <w:tcPr>
            <w:tcW w:w="1654" w:type="dxa"/>
            <w:tcBorders>
              <w:top w:val="single" w:sz="4" w:space="0" w:color="auto"/>
              <w:left w:val="single" w:sz="4" w:space="0" w:color="auto"/>
              <w:bottom w:val="single" w:sz="4" w:space="0" w:color="auto"/>
            </w:tcBorders>
            <w:shd w:val="clear" w:color="auto" w:fill="auto"/>
          </w:tcPr>
          <w:p w14:paraId="0DF9B284" w14:textId="77777777" w:rsidR="001974D5" w:rsidRPr="00112138" w:rsidRDefault="007251B3" w:rsidP="001974D5">
            <w:pPr>
              <w:pStyle w:val="Text"/>
              <w:spacing w:before="100" w:after="100"/>
              <w:jc w:val="center"/>
              <w:rPr>
                <w:sz w:val="16"/>
                <w:szCs w:val="16"/>
              </w:rPr>
            </w:pPr>
            <w:r>
              <w:rPr>
                <w:sz w:val="16"/>
                <w:szCs w:val="16"/>
              </w:rPr>
              <w:t>4-9</w:t>
            </w:r>
          </w:p>
        </w:tc>
      </w:tr>
      <w:tr w:rsidR="001974D5" w:rsidRPr="00112138" w14:paraId="59E95599" w14:textId="77777777" w:rsidTr="00E10163">
        <w:trPr>
          <w:cantSplit/>
        </w:trPr>
        <w:tc>
          <w:tcPr>
            <w:tcW w:w="1548" w:type="dxa"/>
            <w:vMerge/>
            <w:tcBorders>
              <w:bottom w:val="single" w:sz="4" w:space="0" w:color="auto"/>
              <w:right w:val="single" w:sz="4" w:space="0" w:color="auto"/>
            </w:tcBorders>
          </w:tcPr>
          <w:p w14:paraId="66582D81" w14:textId="77777777" w:rsidR="001974D5" w:rsidRPr="00112138" w:rsidRDefault="001974D5" w:rsidP="001974D5">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5FD694D0"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Operating environment</w:t>
            </w:r>
          </w:p>
        </w:tc>
        <w:tc>
          <w:tcPr>
            <w:tcW w:w="2268" w:type="dxa"/>
            <w:tcBorders>
              <w:top w:val="single" w:sz="4" w:space="0" w:color="auto"/>
              <w:left w:val="single" w:sz="4" w:space="0" w:color="auto"/>
              <w:bottom w:val="single" w:sz="4" w:space="0" w:color="auto"/>
            </w:tcBorders>
            <w:shd w:val="clear" w:color="auto" w:fill="auto"/>
          </w:tcPr>
          <w:p w14:paraId="4617DF6E" w14:textId="77777777" w:rsidR="001974D5" w:rsidRPr="00562CEA" w:rsidRDefault="001974D5" w:rsidP="001974D5">
            <w:pPr>
              <w:pStyle w:val="Text"/>
              <w:spacing w:before="100" w:after="100"/>
              <w:rPr>
                <w:sz w:val="16"/>
                <w:szCs w:val="16"/>
                <w:lang w:val="fr-FR"/>
              </w:rPr>
            </w:pPr>
            <w:r w:rsidRPr="00155C01">
              <w:rPr>
                <w:sz w:val="16"/>
                <w:szCs w:val="16"/>
              </w:rPr>
              <w:t>ARRs – section 1</w:t>
            </w:r>
            <w:r>
              <w:rPr>
                <w:sz w:val="16"/>
                <w:szCs w:val="16"/>
              </w:rPr>
              <w:t>0.3</w:t>
            </w:r>
          </w:p>
        </w:tc>
        <w:tc>
          <w:tcPr>
            <w:tcW w:w="1654" w:type="dxa"/>
            <w:tcBorders>
              <w:top w:val="single" w:sz="4" w:space="0" w:color="auto"/>
              <w:left w:val="single" w:sz="4" w:space="0" w:color="auto"/>
              <w:bottom w:val="single" w:sz="4" w:space="0" w:color="auto"/>
            </w:tcBorders>
            <w:shd w:val="clear" w:color="auto" w:fill="auto"/>
          </w:tcPr>
          <w:p w14:paraId="1CE36012" w14:textId="77777777" w:rsidR="001974D5" w:rsidRPr="00112138" w:rsidRDefault="007251B3" w:rsidP="001974D5">
            <w:pPr>
              <w:pStyle w:val="Text"/>
              <w:spacing w:before="100" w:after="100"/>
              <w:jc w:val="center"/>
              <w:rPr>
                <w:sz w:val="16"/>
                <w:szCs w:val="16"/>
              </w:rPr>
            </w:pPr>
            <w:r>
              <w:rPr>
                <w:sz w:val="16"/>
                <w:szCs w:val="16"/>
              </w:rPr>
              <w:t>5-8</w:t>
            </w:r>
          </w:p>
        </w:tc>
      </w:tr>
      <w:tr w:rsidR="001974D5" w:rsidRPr="00112138" w14:paraId="578B133F" w14:textId="77777777" w:rsidTr="00E10163">
        <w:trPr>
          <w:cantSplit/>
        </w:trPr>
        <w:tc>
          <w:tcPr>
            <w:tcW w:w="1548" w:type="dxa"/>
            <w:vMerge w:val="restart"/>
            <w:tcBorders>
              <w:top w:val="single" w:sz="4" w:space="0" w:color="auto"/>
              <w:right w:val="single" w:sz="4" w:space="0" w:color="auto"/>
            </w:tcBorders>
          </w:tcPr>
          <w:p w14:paraId="6785BE39" w14:textId="77777777" w:rsidR="001974D5" w:rsidRPr="00DA656C" w:rsidRDefault="001974D5" w:rsidP="001974D5">
            <w:pPr>
              <w:pStyle w:val="Text"/>
              <w:spacing w:before="100" w:after="100"/>
              <w:rPr>
                <w:b/>
                <w:bCs/>
                <w:sz w:val="16"/>
                <w:szCs w:val="16"/>
              </w:rPr>
            </w:pPr>
            <w:r w:rsidRPr="00DA656C">
              <w:rPr>
                <w:b/>
                <w:bCs/>
                <w:sz w:val="16"/>
                <w:szCs w:val="16"/>
              </w:rPr>
              <w:t>Non-financial performance</w:t>
            </w:r>
          </w:p>
        </w:tc>
        <w:tc>
          <w:tcPr>
            <w:tcW w:w="4122" w:type="dxa"/>
            <w:tcBorders>
              <w:top w:val="single" w:sz="4" w:space="0" w:color="auto"/>
              <w:left w:val="single" w:sz="4" w:space="0" w:color="auto"/>
              <w:bottom w:val="single" w:sz="4" w:space="0" w:color="auto"/>
              <w:right w:val="single" w:sz="4" w:space="0" w:color="auto"/>
            </w:tcBorders>
          </w:tcPr>
          <w:p w14:paraId="10DF8347"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Government’s objectives for the community</w:t>
            </w:r>
          </w:p>
        </w:tc>
        <w:tc>
          <w:tcPr>
            <w:tcW w:w="2268" w:type="dxa"/>
            <w:tcBorders>
              <w:top w:val="single" w:sz="4" w:space="0" w:color="auto"/>
              <w:left w:val="single" w:sz="4" w:space="0" w:color="auto"/>
            </w:tcBorders>
            <w:shd w:val="clear" w:color="auto" w:fill="auto"/>
          </w:tcPr>
          <w:p w14:paraId="69BBE3DA" w14:textId="77777777" w:rsidR="001974D5" w:rsidRPr="003F3429" w:rsidRDefault="001974D5" w:rsidP="001974D5">
            <w:pPr>
              <w:pStyle w:val="Text"/>
              <w:spacing w:before="100" w:after="100"/>
              <w:rPr>
                <w:sz w:val="16"/>
                <w:szCs w:val="16"/>
              </w:rPr>
            </w:pPr>
            <w:r>
              <w:rPr>
                <w:sz w:val="16"/>
                <w:szCs w:val="16"/>
              </w:rPr>
              <w:t>ARRs – section 11</w:t>
            </w:r>
            <w:r w:rsidRPr="003F3429">
              <w:rPr>
                <w:sz w:val="16"/>
                <w:szCs w:val="16"/>
              </w:rPr>
              <w:t>.1</w:t>
            </w:r>
          </w:p>
        </w:tc>
        <w:tc>
          <w:tcPr>
            <w:tcW w:w="1654" w:type="dxa"/>
            <w:tcBorders>
              <w:top w:val="single" w:sz="4" w:space="0" w:color="auto"/>
              <w:left w:val="single" w:sz="4" w:space="0" w:color="auto"/>
              <w:bottom w:val="single" w:sz="4" w:space="0" w:color="auto"/>
            </w:tcBorders>
            <w:shd w:val="clear" w:color="auto" w:fill="auto"/>
          </w:tcPr>
          <w:p w14:paraId="682110B6" w14:textId="77777777" w:rsidR="001974D5" w:rsidRPr="00112138" w:rsidRDefault="00433B7E" w:rsidP="001974D5">
            <w:pPr>
              <w:pStyle w:val="Text"/>
              <w:spacing w:before="100" w:after="100"/>
              <w:jc w:val="center"/>
              <w:rPr>
                <w:sz w:val="16"/>
                <w:szCs w:val="16"/>
              </w:rPr>
            </w:pPr>
            <w:r>
              <w:rPr>
                <w:sz w:val="16"/>
                <w:szCs w:val="16"/>
              </w:rPr>
              <w:t>5</w:t>
            </w:r>
          </w:p>
        </w:tc>
      </w:tr>
      <w:tr w:rsidR="001974D5" w:rsidRPr="00112138" w14:paraId="72DF1FE7" w14:textId="77777777" w:rsidTr="00E10163">
        <w:trPr>
          <w:cantSplit/>
        </w:trPr>
        <w:tc>
          <w:tcPr>
            <w:tcW w:w="1548" w:type="dxa"/>
            <w:vMerge/>
            <w:tcBorders>
              <w:right w:val="single" w:sz="4" w:space="0" w:color="auto"/>
            </w:tcBorders>
          </w:tcPr>
          <w:p w14:paraId="0D6E3EC4" w14:textId="77777777" w:rsidR="001974D5" w:rsidRPr="00112138" w:rsidRDefault="001974D5" w:rsidP="001974D5">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596AA7BD"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Other whole-of-government plans/specific initiatives</w:t>
            </w:r>
          </w:p>
        </w:tc>
        <w:tc>
          <w:tcPr>
            <w:tcW w:w="2268" w:type="dxa"/>
            <w:tcBorders>
              <w:left w:val="single" w:sz="4" w:space="0" w:color="auto"/>
            </w:tcBorders>
            <w:shd w:val="clear" w:color="auto" w:fill="auto"/>
          </w:tcPr>
          <w:p w14:paraId="6BB1E2E3" w14:textId="77777777" w:rsidR="001974D5" w:rsidRPr="003F3429" w:rsidRDefault="001974D5" w:rsidP="001974D5">
            <w:pPr>
              <w:pStyle w:val="Text"/>
              <w:spacing w:before="100" w:after="100"/>
              <w:rPr>
                <w:sz w:val="16"/>
                <w:szCs w:val="16"/>
              </w:rPr>
            </w:pPr>
            <w:r>
              <w:rPr>
                <w:sz w:val="16"/>
                <w:szCs w:val="16"/>
              </w:rPr>
              <w:t>ARRs – section 11.2</w:t>
            </w:r>
          </w:p>
        </w:tc>
        <w:tc>
          <w:tcPr>
            <w:tcW w:w="1654" w:type="dxa"/>
            <w:tcBorders>
              <w:top w:val="single" w:sz="4" w:space="0" w:color="auto"/>
              <w:left w:val="single" w:sz="4" w:space="0" w:color="auto"/>
              <w:bottom w:val="single" w:sz="4" w:space="0" w:color="auto"/>
            </w:tcBorders>
            <w:shd w:val="clear" w:color="auto" w:fill="auto"/>
          </w:tcPr>
          <w:p w14:paraId="225A0784" w14:textId="77777777" w:rsidR="001974D5" w:rsidRPr="00112138" w:rsidRDefault="00433B7E" w:rsidP="001974D5">
            <w:pPr>
              <w:pStyle w:val="Text"/>
              <w:spacing w:before="100" w:after="100"/>
              <w:jc w:val="center"/>
              <w:rPr>
                <w:sz w:val="16"/>
                <w:szCs w:val="16"/>
              </w:rPr>
            </w:pPr>
            <w:r>
              <w:rPr>
                <w:sz w:val="16"/>
                <w:szCs w:val="16"/>
              </w:rPr>
              <w:t>14-23</w:t>
            </w:r>
          </w:p>
        </w:tc>
      </w:tr>
      <w:tr w:rsidR="001974D5" w:rsidRPr="00112138" w14:paraId="68019753" w14:textId="77777777" w:rsidTr="00E10163">
        <w:trPr>
          <w:cantSplit/>
        </w:trPr>
        <w:tc>
          <w:tcPr>
            <w:tcW w:w="1548" w:type="dxa"/>
            <w:vMerge/>
            <w:tcBorders>
              <w:right w:val="single" w:sz="4" w:space="0" w:color="auto"/>
            </w:tcBorders>
          </w:tcPr>
          <w:p w14:paraId="74D7CFA9" w14:textId="77777777" w:rsidR="001974D5" w:rsidRPr="00112138" w:rsidRDefault="001974D5" w:rsidP="001974D5">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16467238"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Agency objectives and performance indicators</w:t>
            </w:r>
          </w:p>
        </w:tc>
        <w:tc>
          <w:tcPr>
            <w:tcW w:w="2268" w:type="dxa"/>
            <w:tcBorders>
              <w:left w:val="single" w:sz="4" w:space="0" w:color="auto"/>
            </w:tcBorders>
            <w:shd w:val="clear" w:color="auto" w:fill="auto"/>
          </w:tcPr>
          <w:p w14:paraId="27989082" w14:textId="77777777" w:rsidR="001974D5" w:rsidRPr="003F3429" w:rsidRDefault="001974D5" w:rsidP="001974D5">
            <w:pPr>
              <w:pStyle w:val="Text"/>
              <w:spacing w:before="100" w:after="100"/>
              <w:rPr>
                <w:sz w:val="16"/>
                <w:szCs w:val="16"/>
              </w:rPr>
            </w:pPr>
            <w:r>
              <w:rPr>
                <w:sz w:val="16"/>
                <w:szCs w:val="16"/>
              </w:rPr>
              <w:t>ARRs – section 11.3</w:t>
            </w:r>
          </w:p>
        </w:tc>
        <w:tc>
          <w:tcPr>
            <w:tcW w:w="1654" w:type="dxa"/>
            <w:tcBorders>
              <w:top w:val="single" w:sz="4" w:space="0" w:color="auto"/>
              <w:left w:val="single" w:sz="4" w:space="0" w:color="auto"/>
              <w:bottom w:val="single" w:sz="4" w:space="0" w:color="auto"/>
            </w:tcBorders>
            <w:shd w:val="clear" w:color="auto" w:fill="auto"/>
          </w:tcPr>
          <w:p w14:paraId="22EC8D9D" w14:textId="77777777" w:rsidR="001974D5" w:rsidRPr="00112138" w:rsidRDefault="00433B7E" w:rsidP="001974D5">
            <w:pPr>
              <w:pStyle w:val="Text"/>
              <w:spacing w:before="100" w:after="100"/>
              <w:jc w:val="center"/>
              <w:rPr>
                <w:sz w:val="16"/>
                <w:szCs w:val="16"/>
              </w:rPr>
            </w:pPr>
            <w:r>
              <w:rPr>
                <w:sz w:val="16"/>
                <w:szCs w:val="16"/>
              </w:rPr>
              <w:t>14-23</w:t>
            </w:r>
          </w:p>
        </w:tc>
      </w:tr>
      <w:tr w:rsidR="001974D5" w:rsidRPr="00112138" w14:paraId="2C830691" w14:textId="77777777" w:rsidTr="00E10163">
        <w:trPr>
          <w:cantSplit/>
        </w:trPr>
        <w:tc>
          <w:tcPr>
            <w:tcW w:w="1548" w:type="dxa"/>
            <w:vMerge/>
            <w:tcBorders>
              <w:bottom w:val="nil"/>
              <w:right w:val="single" w:sz="4" w:space="0" w:color="auto"/>
            </w:tcBorders>
          </w:tcPr>
          <w:p w14:paraId="20173C72" w14:textId="77777777" w:rsidR="001974D5" w:rsidRPr="00112138" w:rsidRDefault="001974D5" w:rsidP="001974D5">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3676AD78"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 xml:space="preserve">Agency service areas and service standards </w:t>
            </w:r>
          </w:p>
        </w:tc>
        <w:tc>
          <w:tcPr>
            <w:tcW w:w="2268" w:type="dxa"/>
            <w:tcBorders>
              <w:left w:val="single" w:sz="4" w:space="0" w:color="auto"/>
            </w:tcBorders>
            <w:shd w:val="clear" w:color="auto" w:fill="auto"/>
          </w:tcPr>
          <w:p w14:paraId="01E99616" w14:textId="77777777" w:rsidR="001974D5" w:rsidRPr="003F3429" w:rsidRDefault="001974D5" w:rsidP="001974D5">
            <w:pPr>
              <w:pStyle w:val="Text"/>
              <w:spacing w:before="100" w:after="100"/>
              <w:rPr>
                <w:i/>
                <w:sz w:val="16"/>
                <w:szCs w:val="16"/>
              </w:rPr>
            </w:pPr>
            <w:r>
              <w:rPr>
                <w:sz w:val="16"/>
                <w:szCs w:val="16"/>
              </w:rPr>
              <w:t>ARRs – section 11</w:t>
            </w:r>
            <w:r w:rsidRPr="003F3429">
              <w:rPr>
                <w:sz w:val="16"/>
                <w:szCs w:val="16"/>
              </w:rPr>
              <w:t>.</w:t>
            </w:r>
            <w:r>
              <w:rPr>
                <w:sz w:val="16"/>
                <w:szCs w:val="16"/>
              </w:rPr>
              <w:t>4</w:t>
            </w:r>
          </w:p>
        </w:tc>
        <w:tc>
          <w:tcPr>
            <w:tcW w:w="1654" w:type="dxa"/>
            <w:tcBorders>
              <w:top w:val="single" w:sz="4" w:space="0" w:color="auto"/>
              <w:left w:val="single" w:sz="4" w:space="0" w:color="auto"/>
              <w:bottom w:val="single" w:sz="4" w:space="0" w:color="auto"/>
            </w:tcBorders>
            <w:shd w:val="clear" w:color="auto" w:fill="auto"/>
          </w:tcPr>
          <w:p w14:paraId="792F7406" w14:textId="77777777" w:rsidR="001974D5" w:rsidRPr="00112138" w:rsidRDefault="00433B7E" w:rsidP="001974D5">
            <w:pPr>
              <w:pStyle w:val="Text"/>
              <w:spacing w:before="100" w:after="100"/>
              <w:jc w:val="center"/>
              <w:rPr>
                <w:sz w:val="16"/>
                <w:szCs w:val="16"/>
              </w:rPr>
            </w:pPr>
            <w:r>
              <w:rPr>
                <w:sz w:val="16"/>
                <w:szCs w:val="16"/>
              </w:rPr>
              <w:t>12-13</w:t>
            </w:r>
          </w:p>
        </w:tc>
      </w:tr>
      <w:tr w:rsidR="001974D5" w:rsidRPr="00112138" w14:paraId="4C0C5327" w14:textId="77777777" w:rsidTr="00E10163">
        <w:trPr>
          <w:cantSplit/>
        </w:trPr>
        <w:tc>
          <w:tcPr>
            <w:tcW w:w="1548" w:type="dxa"/>
            <w:tcBorders>
              <w:top w:val="single" w:sz="4" w:space="0" w:color="auto"/>
              <w:bottom w:val="single" w:sz="4" w:space="0" w:color="auto"/>
              <w:right w:val="single" w:sz="4" w:space="0" w:color="auto"/>
            </w:tcBorders>
          </w:tcPr>
          <w:p w14:paraId="399FA0F3" w14:textId="77777777" w:rsidR="001974D5" w:rsidRPr="00112138" w:rsidRDefault="001974D5" w:rsidP="001974D5">
            <w:pPr>
              <w:pStyle w:val="Text"/>
              <w:spacing w:before="100" w:after="100"/>
              <w:rPr>
                <w:b/>
                <w:bCs/>
                <w:sz w:val="16"/>
                <w:szCs w:val="16"/>
              </w:rPr>
            </w:pPr>
            <w:r w:rsidRPr="00112138">
              <w:rPr>
                <w:b/>
                <w:bCs/>
                <w:sz w:val="16"/>
                <w:szCs w:val="16"/>
              </w:rPr>
              <w:t>Financial performance</w:t>
            </w:r>
          </w:p>
        </w:tc>
        <w:tc>
          <w:tcPr>
            <w:tcW w:w="4122" w:type="dxa"/>
            <w:tcBorders>
              <w:top w:val="single" w:sz="4" w:space="0" w:color="auto"/>
              <w:left w:val="single" w:sz="4" w:space="0" w:color="auto"/>
              <w:bottom w:val="single" w:sz="4" w:space="0" w:color="auto"/>
              <w:right w:val="single" w:sz="4" w:space="0" w:color="auto"/>
            </w:tcBorders>
          </w:tcPr>
          <w:p w14:paraId="3BEE4D90"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Summary of financial performance</w:t>
            </w:r>
          </w:p>
        </w:tc>
        <w:tc>
          <w:tcPr>
            <w:tcW w:w="2268" w:type="dxa"/>
            <w:tcBorders>
              <w:top w:val="single" w:sz="4" w:space="0" w:color="auto"/>
              <w:left w:val="single" w:sz="4" w:space="0" w:color="auto"/>
              <w:bottom w:val="single" w:sz="4" w:space="0" w:color="auto"/>
            </w:tcBorders>
            <w:shd w:val="clear" w:color="auto" w:fill="auto"/>
          </w:tcPr>
          <w:p w14:paraId="40226B7F" w14:textId="77777777" w:rsidR="001974D5" w:rsidRPr="00562CEA" w:rsidRDefault="001974D5" w:rsidP="001974D5">
            <w:pPr>
              <w:pStyle w:val="Text"/>
              <w:spacing w:before="100" w:after="100"/>
              <w:rPr>
                <w:sz w:val="16"/>
                <w:szCs w:val="16"/>
              </w:rPr>
            </w:pPr>
            <w:r>
              <w:rPr>
                <w:sz w:val="16"/>
                <w:szCs w:val="16"/>
              </w:rPr>
              <w:t>ARRs – section 12</w:t>
            </w:r>
            <w:r w:rsidRPr="00562CEA">
              <w:rPr>
                <w:sz w:val="16"/>
                <w:szCs w:val="16"/>
              </w:rPr>
              <w:t>.1</w:t>
            </w:r>
          </w:p>
        </w:tc>
        <w:tc>
          <w:tcPr>
            <w:tcW w:w="1654" w:type="dxa"/>
            <w:tcBorders>
              <w:top w:val="single" w:sz="4" w:space="0" w:color="auto"/>
              <w:left w:val="single" w:sz="4" w:space="0" w:color="auto"/>
              <w:bottom w:val="single" w:sz="4" w:space="0" w:color="auto"/>
            </w:tcBorders>
            <w:shd w:val="clear" w:color="auto" w:fill="auto"/>
          </w:tcPr>
          <w:p w14:paraId="0382CD58" w14:textId="77777777" w:rsidR="001974D5" w:rsidRPr="00112138" w:rsidRDefault="00957112" w:rsidP="001974D5">
            <w:pPr>
              <w:pStyle w:val="Text"/>
              <w:spacing w:before="100" w:after="100"/>
              <w:jc w:val="center"/>
              <w:rPr>
                <w:sz w:val="16"/>
                <w:szCs w:val="16"/>
              </w:rPr>
            </w:pPr>
            <w:r>
              <w:rPr>
                <w:sz w:val="16"/>
                <w:szCs w:val="16"/>
              </w:rPr>
              <w:t>10-11</w:t>
            </w:r>
          </w:p>
        </w:tc>
      </w:tr>
      <w:tr w:rsidR="001974D5" w:rsidRPr="00112138" w14:paraId="0EA4DA39" w14:textId="77777777" w:rsidTr="00E10163">
        <w:trPr>
          <w:cantSplit/>
        </w:trPr>
        <w:tc>
          <w:tcPr>
            <w:tcW w:w="1548" w:type="dxa"/>
            <w:vMerge w:val="restart"/>
            <w:tcBorders>
              <w:top w:val="single" w:sz="4" w:space="0" w:color="auto"/>
              <w:bottom w:val="single" w:sz="4" w:space="0" w:color="auto"/>
              <w:right w:val="single" w:sz="4" w:space="0" w:color="auto"/>
            </w:tcBorders>
          </w:tcPr>
          <w:p w14:paraId="0FDEE320" w14:textId="77777777" w:rsidR="001974D5" w:rsidRPr="00112138" w:rsidRDefault="001974D5" w:rsidP="001974D5">
            <w:pPr>
              <w:pStyle w:val="Text"/>
              <w:spacing w:before="100" w:after="100"/>
              <w:rPr>
                <w:b/>
                <w:bCs/>
                <w:sz w:val="16"/>
                <w:szCs w:val="16"/>
              </w:rPr>
            </w:pPr>
            <w:r w:rsidRPr="00112138">
              <w:rPr>
                <w:b/>
                <w:bCs/>
                <w:sz w:val="16"/>
                <w:szCs w:val="16"/>
              </w:rPr>
              <w:t>Governance – management and structure</w:t>
            </w:r>
          </w:p>
        </w:tc>
        <w:tc>
          <w:tcPr>
            <w:tcW w:w="4122" w:type="dxa"/>
            <w:tcBorders>
              <w:top w:val="single" w:sz="4" w:space="0" w:color="auto"/>
              <w:left w:val="single" w:sz="4" w:space="0" w:color="auto"/>
              <w:bottom w:val="single" w:sz="4" w:space="0" w:color="auto"/>
              <w:right w:val="single" w:sz="4" w:space="0" w:color="auto"/>
            </w:tcBorders>
          </w:tcPr>
          <w:p w14:paraId="74BC01F0"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 xml:space="preserve">Organisational structure </w:t>
            </w:r>
          </w:p>
        </w:tc>
        <w:tc>
          <w:tcPr>
            <w:tcW w:w="2268" w:type="dxa"/>
            <w:tcBorders>
              <w:top w:val="single" w:sz="4" w:space="0" w:color="auto"/>
              <w:left w:val="single" w:sz="4" w:space="0" w:color="auto"/>
              <w:bottom w:val="single" w:sz="4" w:space="0" w:color="auto"/>
            </w:tcBorders>
            <w:shd w:val="clear" w:color="auto" w:fill="auto"/>
          </w:tcPr>
          <w:p w14:paraId="6BA340AE" w14:textId="77777777" w:rsidR="001974D5" w:rsidRPr="00562CEA" w:rsidRDefault="001974D5" w:rsidP="001974D5">
            <w:pPr>
              <w:pStyle w:val="Text"/>
              <w:spacing w:before="100" w:after="100"/>
              <w:rPr>
                <w:sz w:val="16"/>
                <w:szCs w:val="16"/>
              </w:rPr>
            </w:pPr>
            <w:r>
              <w:rPr>
                <w:sz w:val="16"/>
                <w:szCs w:val="16"/>
              </w:rPr>
              <w:t>ARRs – section 13</w:t>
            </w:r>
            <w:r w:rsidRPr="00562CEA">
              <w:rPr>
                <w:sz w:val="16"/>
                <w:szCs w:val="16"/>
              </w:rPr>
              <w:t>.1</w:t>
            </w:r>
          </w:p>
        </w:tc>
        <w:tc>
          <w:tcPr>
            <w:tcW w:w="1654" w:type="dxa"/>
            <w:tcBorders>
              <w:top w:val="single" w:sz="4" w:space="0" w:color="auto"/>
              <w:left w:val="single" w:sz="4" w:space="0" w:color="auto"/>
              <w:bottom w:val="single" w:sz="4" w:space="0" w:color="auto"/>
            </w:tcBorders>
            <w:shd w:val="clear" w:color="auto" w:fill="auto"/>
          </w:tcPr>
          <w:p w14:paraId="70F55403" w14:textId="77777777" w:rsidR="001974D5" w:rsidRPr="00112138" w:rsidRDefault="00957112" w:rsidP="001974D5">
            <w:pPr>
              <w:pStyle w:val="Text"/>
              <w:spacing w:before="100" w:after="100"/>
              <w:jc w:val="center"/>
              <w:rPr>
                <w:sz w:val="16"/>
                <w:szCs w:val="16"/>
              </w:rPr>
            </w:pPr>
            <w:r>
              <w:rPr>
                <w:sz w:val="16"/>
                <w:szCs w:val="16"/>
              </w:rPr>
              <w:t>9</w:t>
            </w:r>
          </w:p>
        </w:tc>
      </w:tr>
      <w:tr w:rsidR="001974D5" w:rsidRPr="00112138" w14:paraId="7D5048FA" w14:textId="77777777" w:rsidTr="00E10163">
        <w:trPr>
          <w:cantSplit/>
        </w:trPr>
        <w:tc>
          <w:tcPr>
            <w:tcW w:w="1548" w:type="dxa"/>
            <w:vMerge/>
            <w:tcBorders>
              <w:top w:val="single" w:sz="4" w:space="0" w:color="auto"/>
              <w:bottom w:val="single" w:sz="4" w:space="0" w:color="auto"/>
              <w:right w:val="single" w:sz="4" w:space="0" w:color="auto"/>
            </w:tcBorders>
          </w:tcPr>
          <w:p w14:paraId="65547C2B" w14:textId="77777777" w:rsidR="001974D5" w:rsidRPr="00112138" w:rsidRDefault="001974D5" w:rsidP="001974D5">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752C780D"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Executive management</w:t>
            </w:r>
          </w:p>
        </w:tc>
        <w:tc>
          <w:tcPr>
            <w:tcW w:w="2268" w:type="dxa"/>
            <w:tcBorders>
              <w:top w:val="single" w:sz="4" w:space="0" w:color="auto"/>
              <w:left w:val="single" w:sz="4" w:space="0" w:color="auto"/>
              <w:bottom w:val="single" w:sz="4" w:space="0" w:color="auto"/>
            </w:tcBorders>
            <w:shd w:val="clear" w:color="auto" w:fill="auto"/>
          </w:tcPr>
          <w:p w14:paraId="46068348" w14:textId="77777777" w:rsidR="001974D5" w:rsidRPr="00977D5F" w:rsidRDefault="001974D5" w:rsidP="001974D5">
            <w:pPr>
              <w:pStyle w:val="Text"/>
              <w:spacing w:before="100" w:after="100"/>
              <w:rPr>
                <w:sz w:val="16"/>
                <w:szCs w:val="16"/>
              </w:rPr>
            </w:pPr>
            <w:r>
              <w:rPr>
                <w:sz w:val="16"/>
                <w:szCs w:val="16"/>
              </w:rPr>
              <w:t>ARRs – section 13</w:t>
            </w:r>
            <w:r w:rsidRPr="00977D5F">
              <w:rPr>
                <w:sz w:val="16"/>
                <w:szCs w:val="16"/>
              </w:rPr>
              <w:t>.2</w:t>
            </w:r>
          </w:p>
        </w:tc>
        <w:tc>
          <w:tcPr>
            <w:tcW w:w="1654" w:type="dxa"/>
            <w:tcBorders>
              <w:top w:val="single" w:sz="4" w:space="0" w:color="auto"/>
              <w:left w:val="single" w:sz="4" w:space="0" w:color="auto"/>
              <w:bottom w:val="single" w:sz="4" w:space="0" w:color="auto"/>
            </w:tcBorders>
            <w:shd w:val="clear" w:color="auto" w:fill="auto"/>
          </w:tcPr>
          <w:p w14:paraId="02E7450A" w14:textId="77777777" w:rsidR="001974D5" w:rsidRPr="00112138" w:rsidRDefault="00957112" w:rsidP="001974D5">
            <w:pPr>
              <w:pStyle w:val="Text"/>
              <w:spacing w:before="100" w:after="100"/>
              <w:jc w:val="center"/>
              <w:rPr>
                <w:sz w:val="16"/>
                <w:szCs w:val="16"/>
              </w:rPr>
            </w:pPr>
            <w:r>
              <w:rPr>
                <w:sz w:val="16"/>
                <w:szCs w:val="16"/>
              </w:rPr>
              <w:t>26-27</w:t>
            </w:r>
          </w:p>
        </w:tc>
      </w:tr>
      <w:tr w:rsidR="001974D5" w:rsidRPr="00112138" w14:paraId="1032BE19" w14:textId="77777777" w:rsidTr="00E10163">
        <w:trPr>
          <w:cantSplit/>
        </w:trPr>
        <w:tc>
          <w:tcPr>
            <w:tcW w:w="1548" w:type="dxa"/>
            <w:vMerge/>
            <w:tcBorders>
              <w:top w:val="single" w:sz="4" w:space="0" w:color="auto"/>
              <w:bottom w:val="single" w:sz="4" w:space="0" w:color="auto"/>
              <w:right w:val="single" w:sz="4" w:space="0" w:color="auto"/>
            </w:tcBorders>
          </w:tcPr>
          <w:p w14:paraId="0C0C8F72" w14:textId="77777777" w:rsidR="001974D5" w:rsidRPr="00112138" w:rsidRDefault="001974D5" w:rsidP="001974D5">
            <w:pPr>
              <w:pStyle w:val="Text"/>
              <w:spacing w:before="100" w:after="100"/>
              <w:rPr>
                <w:b/>
                <w:bCs/>
                <w:sz w:val="16"/>
              </w:rPr>
            </w:pPr>
          </w:p>
        </w:tc>
        <w:tc>
          <w:tcPr>
            <w:tcW w:w="4122" w:type="dxa"/>
            <w:tcBorders>
              <w:top w:val="single" w:sz="4" w:space="0" w:color="auto"/>
              <w:left w:val="single" w:sz="4" w:space="0" w:color="auto"/>
              <w:bottom w:val="single" w:sz="4" w:space="0" w:color="auto"/>
              <w:right w:val="single" w:sz="4" w:space="0" w:color="auto"/>
            </w:tcBorders>
          </w:tcPr>
          <w:p w14:paraId="58E7ACC1"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Government bodies (statutory bodies and other entities)</w:t>
            </w:r>
          </w:p>
        </w:tc>
        <w:tc>
          <w:tcPr>
            <w:tcW w:w="2268" w:type="dxa"/>
            <w:tcBorders>
              <w:top w:val="single" w:sz="4" w:space="0" w:color="auto"/>
              <w:left w:val="single" w:sz="4" w:space="0" w:color="auto"/>
              <w:bottom w:val="single" w:sz="4" w:space="0" w:color="auto"/>
            </w:tcBorders>
            <w:shd w:val="clear" w:color="auto" w:fill="auto"/>
          </w:tcPr>
          <w:p w14:paraId="4ADB45A0" w14:textId="77777777" w:rsidR="001974D5" w:rsidRPr="00E522CB" w:rsidRDefault="001974D5" w:rsidP="001974D5">
            <w:pPr>
              <w:pStyle w:val="Text"/>
              <w:spacing w:before="100" w:after="100"/>
              <w:rPr>
                <w:sz w:val="16"/>
                <w:szCs w:val="16"/>
              </w:rPr>
            </w:pPr>
            <w:r w:rsidRPr="00E522CB">
              <w:rPr>
                <w:sz w:val="16"/>
                <w:szCs w:val="16"/>
              </w:rPr>
              <w:t>ARRs – section</w:t>
            </w:r>
            <w:r>
              <w:rPr>
                <w:sz w:val="16"/>
                <w:szCs w:val="16"/>
              </w:rPr>
              <w:t xml:space="preserve"> 13</w:t>
            </w:r>
            <w:r w:rsidRPr="00E522CB">
              <w:rPr>
                <w:sz w:val="16"/>
                <w:szCs w:val="16"/>
              </w:rPr>
              <w:t>.</w:t>
            </w:r>
            <w:r>
              <w:rPr>
                <w:sz w:val="16"/>
                <w:szCs w:val="16"/>
              </w:rPr>
              <w:t>3</w:t>
            </w:r>
          </w:p>
        </w:tc>
        <w:tc>
          <w:tcPr>
            <w:tcW w:w="1654" w:type="dxa"/>
            <w:tcBorders>
              <w:top w:val="single" w:sz="4" w:space="0" w:color="auto"/>
              <w:left w:val="single" w:sz="4" w:space="0" w:color="auto"/>
              <w:bottom w:val="single" w:sz="4" w:space="0" w:color="auto"/>
            </w:tcBorders>
            <w:shd w:val="clear" w:color="auto" w:fill="auto"/>
          </w:tcPr>
          <w:p w14:paraId="590AD8F9" w14:textId="77777777" w:rsidR="001974D5" w:rsidRPr="00112138" w:rsidRDefault="001974D5" w:rsidP="001974D5">
            <w:pPr>
              <w:pStyle w:val="Text"/>
              <w:spacing w:before="100" w:after="100"/>
              <w:jc w:val="center"/>
              <w:rPr>
                <w:sz w:val="16"/>
                <w:szCs w:val="16"/>
              </w:rPr>
            </w:pPr>
            <w:r>
              <w:rPr>
                <w:sz w:val="16"/>
                <w:szCs w:val="16"/>
              </w:rPr>
              <w:t>Not applicable</w:t>
            </w:r>
          </w:p>
        </w:tc>
      </w:tr>
      <w:tr w:rsidR="001974D5" w:rsidRPr="00112138" w14:paraId="25311AF9" w14:textId="77777777" w:rsidTr="00E10163">
        <w:trPr>
          <w:cantSplit/>
        </w:trPr>
        <w:tc>
          <w:tcPr>
            <w:tcW w:w="1548" w:type="dxa"/>
            <w:vMerge/>
            <w:tcBorders>
              <w:top w:val="single" w:sz="4" w:space="0" w:color="auto"/>
              <w:bottom w:val="single" w:sz="4" w:space="0" w:color="auto"/>
              <w:right w:val="single" w:sz="4" w:space="0" w:color="auto"/>
            </w:tcBorders>
          </w:tcPr>
          <w:p w14:paraId="05B37F4E" w14:textId="77777777" w:rsidR="001974D5" w:rsidRPr="00112138" w:rsidRDefault="001974D5" w:rsidP="001974D5">
            <w:pPr>
              <w:pStyle w:val="Text"/>
              <w:spacing w:before="100" w:after="100"/>
              <w:rPr>
                <w:b/>
                <w:bCs/>
                <w:sz w:val="16"/>
              </w:rPr>
            </w:pPr>
          </w:p>
        </w:tc>
        <w:tc>
          <w:tcPr>
            <w:tcW w:w="4122" w:type="dxa"/>
            <w:tcBorders>
              <w:top w:val="single" w:sz="4" w:space="0" w:color="auto"/>
              <w:left w:val="single" w:sz="4" w:space="0" w:color="auto"/>
              <w:bottom w:val="single" w:sz="4" w:space="0" w:color="auto"/>
              <w:right w:val="single" w:sz="4" w:space="0" w:color="auto"/>
            </w:tcBorders>
          </w:tcPr>
          <w:p w14:paraId="52278BFB"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i/>
                <w:sz w:val="16"/>
                <w:szCs w:val="16"/>
              </w:rPr>
              <w:t>Public Sector Ethics Act 1994</w:t>
            </w:r>
          </w:p>
        </w:tc>
        <w:tc>
          <w:tcPr>
            <w:tcW w:w="2268" w:type="dxa"/>
            <w:tcBorders>
              <w:top w:val="single" w:sz="4" w:space="0" w:color="auto"/>
              <w:left w:val="single" w:sz="4" w:space="0" w:color="auto"/>
              <w:bottom w:val="single" w:sz="4" w:space="0" w:color="auto"/>
            </w:tcBorders>
            <w:shd w:val="clear" w:color="auto" w:fill="auto"/>
          </w:tcPr>
          <w:p w14:paraId="5232024F" w14:textId="77777777" w:rsidR="001974D5" w:rsidRPr="00977D5F" w:rsidRDefault="001974D5" w:rsidP="001974D5">
            <w:pPr>
              <w:pStyle w:val="Text"/>
              <w:spacing w:before="100" w:after="100"/>
              <w:rPr>
                <w:i/>
                <w:sz w:val="16"/>
                <w:szCs w:val="16"/>
              </w:rPr>
            </w:pPr>
            <w:r w:rsidRPr="00977D5F">
              <w:rPr>
                <w:i/>
                <w:sz w:val="16"/>
                <w:szCs w:val="16"/>
              </w:rPr>
              <w:t>Public Sector Ethics Act 1994</w:t>
            </w:r>
          </w:p>
          <w:p w14:paraId="638F80A4" w14:textId="77777777" w:rsidR="001974D5" w:rsidRPr="00E522CB" w:rsidRDefault="001974D5" w:rsidP="001974D5">
            <w:pPr>
              <w:pStyle w:val="Text"/>
              <w:spacing w:before="100" w:after="100"/>
              <w:rPr>
                <w:sz w:val="16"/>
                <w:szCs w:val="16"/>
              </w:rPr>
            </w:pPr>
            <w:r>
              <w:rPr>
                <w:sz w:val="16"/>
                <w:szCs w:val="16"/>
              </w:rPr>
              <w:t>ARRs – section 13</w:t>
            </w:r>
            <w:r w:rsidRPr="00977D5F">
              <w:rPr>
                <w:sz w:val="16"/>
                <w:szCs w:val="16"/>
              </w:rPr>
              <w:t>.</w:t>
            </w:r>
            <w:r>
              <w:rPr>
                <w:sz w:val="16"/>
                <w:szCs w:val="16"/>
              </w:rPr>
              <w:t>4</w:t>
            </w:r>
          </w:p>
        </w:tc>
        <w:tc>
          <w:tcPr>
            <w:tcW w:w="1654" w:type="dxa"/>
            <w:tcBorders>
              <w:top w:val="single" w:sz="4" w:space="0" w:color="auto"/>
              <w:left w:val="single" w:sz="4" w:space="0" w:color="auto"/>
              <w:bottom w:val="single" w:sz="4" w:space="0" w:color="auto"/>
            </w:tcBorders>
            <w:shd w:val="clear" w:color="auto" w:fill="auto"/>
          </w:tcPr>
          <w:p w14:paraId="1346FBA8" w14:textId="77777777" w:rsidR="001974D5" w:rsidRPr="00112138" w:rsidRDefault="00957112" w:rsidP="001974D5">
            <w:pPr>
              <w:pStyle w:val="Text"/>
              <w:spacing w:before="100" w:after="100"/>
              <w:jc w:val="center"/>
              <w:rPr>
                <w:sz w:val="16"/>
                <w:szCs w:val="16"/>
              </w:rPr>
            </w:pPr>
            <w:r>
              <w:rPr>
                <w:sz w:val="16"/>
                <w:szCs w:val="16"/>
              </w:rPr>
              <w:t>28</w:t>
            </w:r>
          </w:p>
        </w:tc>
      </w:tr>
      <w:tr w:rsidR="001974D5" w:rsidRPr="00112138" w14:paraId="24A4C50B" w14:textId="77777777" w:rsidTr="00E10163">
        <w:trPr>
          <w:cantSplit/>
        </w:trPr>
        <w:tc>
          <w:tcPr>
            <w:tcW w:w="1548" w:type="dxa"/>
            <w:vMerge/>
            <w:tcBorders>
              <w:top w:val="single" w:sz="4" w:space="0" w:color="auto"/>
              <w:bottom w:val="single" w:sz="4" w:space="0" w:color="auto"/>
              <w:right w:val="single" w:sz="4" w:space="0" w:color="auto"/>
            </w:tcBorders>
          </w:tcPr>
          <w:p w14:paraId="67E48C1C" w14:textId="77777777" w:rsidR="001974D5" w:rsidRPr="00112138" w:rsidRDefault="001974D5" w:rsidP="001974D5">
            <w:pPr>
              <w:pStyle w:val="Text"/>
              <w:spacing w:before="100" w:after="100"/>
              <w:rPr>
                <w:b/>
                <w:bCs/>
                <w:sz w:val="16"/>
              </w:rPr>
            </w:pPr>
          </w:p>
        </w:tc>
        <w:tc>
          <w:tcPr>
            <w:tcW w:w="4122" w:type="dxa"/>
            <w:tcBorders>
              <w:top w:val="single" w:sz="4" w:space="0" w:color="auto"/>
              <w:left w:val="single" w:sz="4" w:space="0" w:color="auto"/>
              <w:bottom w:val="single" w:sz="4" w:space="0" w:color="auto"/>
              <w:right w:val="single" w:sz="4" w:space="0" w:color="auto"/>
            </w:tcBorders>
          </w:tcPr>
          <w:p w14:paraId="45DFFD37" w14:textId="77777777" w:rsidR="001974D5" w:rsidRPr="0015651E" w:rsidRDefault="001974D5" w:rsidP="001974D5">
            <w:pPr>
              <w:pStyle w:val="Text"/>
              <w:numPr>
                <w:ilvl w:val="0"/>
                <w:numId w:val="14"/>
              </w:numPr>
              <w:tabs>
                <w:tab w:val="clear" w:pos="360"/>
                <w:tab w:val="num" w:pos="252"/>
              </w:tabs>
              <w:spacing w:before="100" w:after="100"/>
              <w:ind w:left="252" w:hanging="252"/>
              <w:rPr>
                <w:i/>
                <w:sz w:val="16"/>
                <w:szCs w:val="16"/>
              </w:rPr>
            </w:pPr>
            <w:r w:rsidRPr="0015651E">
              <w:rPr>
                <w:sz w:val="16"/>
                <w:szCs w:val="16"/>
              </w:rPr>
              <w:t>Queensland public service values</w:t>
            </w:r>
          </w:p>
        </w:tc>
        <w:tc>
          <w:tcPr>
            <w:tcW w:w="2268" w:type="dxa"/>
            <w:tcBorders>
              <w:top w:val="single" w:sz="4" w:space="0" w:color="auto"/>
              <w:left w:val="single" w:sz="4" w:space="0" w:color="auto"/>
              <w:bottom w:val="single" w:sz="4" w:space="0" w:color="auto"/>
            </w:tcBorders>
            <w:shd w:val="clear" w:color="auto" w:fill="auto"/>
          </w:tcPr>
          <w:p w14:paraId="3D02082A" w14:textId="77777777" w:rsidR="001974D5" w:rsidRPr="00E522CB" w:rsidRDefault="001974D5" w:rsidP="001974D5">
            <w:pPr>
              <w:pStyle w:val="Text"/>
              <w:spacing w:before="100" w:after="100"/>
              <w:rPr>
                <w:i/>
                <w:sz w:val="16"/>
                <w:szCs w:val="16"/>
              </w:rPr>
            </w:pPr>
            <w:r>
              <w:rPr>
                <w:sz w:val="16"/>
                <w:szCs w:val="16"/>
              </w:rPr>
              <w:t>ARRs – section 13</w:t>
            </w:r>
            <w:r w:rsidRPr="00E522CB">
              <w:rPr>
                <w:sz w:val="16"/>
                <w:szCs w:val="16"/>
              </w:rPr>
              <w:t>.</w:t>
            </w:r>
            <w:r>
              <w:rPr>
                <w:sz w:val="16"/>
                <w:szCs w:val="16"/>
              </w:rPr>
              <w:t>5</w:t>
            </w:r>
          </w:p>
        </w:tc>
        <w:tc>
          <w:tcPr>
            <w:tcW w:w="1654" w:type="dxa"/>
            <w:tcBorders>
              <w:top w:val="single" w:sz="4" w:space="0" w:color="auto"/>
              <w:left w:val="single" w:sz="4" w:space="0" w:color="auto"/>
              <w:bottom w:val="single" w:sz="4" w:space="0" w:color="auto"/>
            </w:tcBorders>
            <w:shd w:val="clear" w:color="auto" w:fill="auto"/>
          </w:tcPr>
          <w:p w14:paraId="11FFFD4A" w14:textId="77777777" w:rsidR="001974D5" w:rsidRPr="00112138" w:rsidRDefault="00957112" w:rsidP="001974D5">
            <w:pPr>
              <w:pStyle w:val="Text"/>
              <w:spacing w:before="100" w:after="100"/>
              <w:jc w:val="center"/>
              <w:rPr>
                <w:sz w:val="16"/>
                <w:szCs w:val="16"/>
              </w:rPr>
            </w:pPr>
            <w:r>
              <w:rPr>
                <w:sz w:val="16"/>
                <w:szCs w:val="16"/>
              </w:rPr>
              <w:t>6</w:t>
            </w:r>
          </w:p>
        </w:tc>
      </w:tr>
      <w:tr w:rsidR="001974D5" w:rsidRPr="00112138" w14:paraId="405B3F19" w14:textId="77777777" w:rsidTr="00E10163">
        <w:trPr>
          <w:cantSplit/>
        </w:trPr>
        <w:tc>
          <w:tcPr>
            <w:tcW w:w="1548" w:type="dxa"/>
            <w:vMerge w:val="restart"/>
            <w:tcBorders>
              <w:top w:val="single" w:sz="4" w:space="0" w:color="auto"/>
              <w:right w:val="single" w:sz="4" w:space="0" w:color="auto"/>
            </w:tcBorders>
          </w:tcPr>
          <w:p w14:paraId="60280392" w14:textId="77777777" w:rsidR="001974D5" w:rsidRPr="00112138" w:rsidRDefault="001974D5" w:rsidP="001974D5">
            <w:pPr>
              <w:pStyle w:val="Text"/>
              <w:spacing w:before="100" w:after="100"/>
              <w:rPr>
                <w:b/>
                <w:bCs/>
                <w:sz w:val="16"/>
                <w:szCs w:val="16"/>
              </w:rPr>
            </w:pPr>
            <w:r w:rsidRPr="00112138">
              <w:rPr>
                <w:b/>
                <w:bCs/>
                <w:sz w:val="16"/>
                <w:szCs w:val="16"/>
              </w:rPr>
              <w:t>Governance – risk management and accountability</w:t>
            </w:r>
          </w:p>
        </w:tc>
        <w:tc>
          <w:tcPr>
            <w:tcW w:w="4122" w:type="dxa"/>
            <w:tcBorders>
              <w:top w:val="nil"/>
              <w:left w:val="single" w:sz="4" w:space="0" w:color="auto"/>
              <w:bottom w:val="single" w:sz="4" w:space="0" w:color="auto"/>
              <w:right w:val="single" w:sz="4" w:space="0" w:color="auto"/>
            </w:tcBorders>
          </w:tcPr>
          <w:p w14:paraId="7A1DEA4D"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Risk management</w:t>
            </w:r>
          </w:p>
        </w:tc>
        <w:tc>
          <w:tcPr>
            <w:tcW w:w="2268" w:type="dxa"/>
            <w:tcBorders>
              <w:top w:val="nil"/>
              <w:left w:val="single" w:sz="4" w:space="0" w:color="auto"/>
              <w:bottom w:val="single" w:sz="4" w:space="0" w:color="auto"/>
            </w:tcBorders>
            <w:shd w:val="clear" w:color="auto" w:fill="auto"/>
          </w:tcPr>
          <w:p w14:paraId="68B28C3F" w14:textId="77777777" w:rsidR="001974D5" w:rsidRPr="00562CEA" w:rsidRDefault="001974D5" w:rsidP="001974D5">
            <w:pPr>
              <w:pStyle w:val="Text"/>
              <w:tabs>
                <w:tab w:val="right" w:pos="2304"/>
              </w:tabs>
              <w:spacing w:before="100" w:after="100"/>
              <w:rPr>
                <w:sz w:val="16"/>
                <w:szCs w:val="16"/>
              </w:rPr>
            </w:pPr>
            <w:r>
              <w:rPr>
                <w:sz w:val="16"/>
                <w:szCs w:val="16"/>
              </w:rPr>
              <w:t>ARRs – section 14.1</w:t>
            </w:r>
          </w:p>
        </w:tc>
        <w:tc>
          <w:tcPr>
            <w:tcW w:w="1654" w:type="dxa"/>
            <w:tcBorders>
              <w:top w:val="nil"/>
              <w:left w:val="single" w:sz="4" w:space="0" w:color="auto"/>
              <w:bottom w:val="single" w:sz="4" w:space="0" w:color="auto"/>
            </w:tcBorders>
            <w:shd w:val="clear" w:color="auto" w:fill="auto"/>
          </w:tcPr>
          <w:p w14:paraId="24BB4BE4" w14:textId="77777777" w:rsidR="001974D5" w:rsidRPr="00112138" w:rsidRDefault="00957112" w:rsidP="001974D5">
            <w:pPr>
              <w:pStyle w:val="Text"/>
              <w:spacing w:before="100" w:after="100"/>
              <w:jc w:val="center"/>
              <w:rPr>
                <w:sz w:val="16"/>
                <w:szCs w:val="16"/>
              </w:rPr>
            </w:pPr>
            <w:r>
              <w:rPr>
                <w:sz w:val="16"/>
                <w:szCs w:val="16"/>
              </w:rPr>
              <w:t>27, 29-31</w:t>
            </w:r>
          </w:p>
        </w:tc>
      </w:tr>
      <w:tr w:rsidR="001974D5" w:rsidRPr="00112138" w14:paraId="20673D06" w14:textId="77777777" w:rsidTr="00E10163">
        <w:trPr>
          <w:cantSplit/>
        </w:trPr>
        <w:tc>
          <w:tcPr>
            <w:tcW w:w="1548" w:type="dxa"/>
            <w:vMerge/>
            <w:tcBorders>
              <w:right w:val="single" w:sz="4" w:space="0" w:color="auto"/>
            </w:tcBorders>
          </w:tcPr>
          <w:p w14:paraId="079070B0" w14:textId="77777777" w:rsidR="001974D5" w:rsidRPr="00112138" w:rsidRDefault="001974D5" w:rsidP="001974D5">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4B3FB1CE"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Audit committee</w:t>
            </w:r>
          </w:p>
        </w:tc>
        <w:tc>
          <w:tcPr>
            <w:tcW w:w="2268" w:type="dxa"/>
            <w:tcBorders>
              <w:top w:val="single" w:sz="4" w:space="0" w:color="auto"/>
              <w:left w:val="single" w:sz="4" w:space="0" w:color="auto"/>
              <w:bottom w:val="single" w:sz="4" w:space="0" w:color="auto"/>
            </w:tcBorders>
            <w:shd w:val="clear" w:color="auto" w:fill="auto"/>
          </w:tcPr>
          <w:p w14:paraId="65950992" w14:textId="77777777" w:rsidR="001974D5" w:rsidRPr="00562CEA" w:rsidRDefault="001974D5" w:rsidP="001974D5">
            <w:pPr>
              <w:pStyle w:val="Text"/>
              <w:spacing w:before="100" w:after="100"/>
              <w:rPr>
                <w:sz w:val="16"/>
                <w:szCs w:val="16"/>
              </w:rPr>
            </w:pPr>
            <w:r>
              <w:rPr>
                <w:sz w:val="16"/>
                <w:szCs w:val="16"/>
              </w:rPr>
              <w:t>ARRs – section 14.2</w:t>
            </w:r>
          </w:p>
        </w:tc>
        <w:tc>
          <w:tcPr>
            <w:tcW w:w="1654" w:type="dxa"/>
            <w:tcBorders>
              <w:top w:val="single" w:sz="4" w:space="0" w:color="auto"/>
              <w:left w:val="single" w:sz="4" w:space="0" w:color="auto"/>
              <w:bottom w:val="single" w:sz="4" w:space="0" w:color="auto"/>
            </w:tcBorders>
            <w:shd w:val="clear" w:color="auto" w:fill="auto"/>
          </w:tcPr>
          <w:p w14:paraId="219D08CC" w14:textId="77777777" w:rsidR="001974D5" w:rsidRPr="00112138" w:rsidRDefault="00957112" w:rsidP="001974D5">
            <w:pPr>
              <w:pStyle w:val="Text"/>
              <w:spacing w:before="100" w:after="100"/>
              <w:jc w:val="center"/>
              <w:rPr>
                <w:sz w:val="16"/>
                <w:szCs w:val="16"/>
              </w:rPr>
            </w:pPr>
            <w:r>
              <w:rPr>
                <w:sz w:val="16"/>
                <w:szCs w:val="16"/>
              </w:rPr>
              <w:t>27</w:t>
            </w:r>
          </w:p>
        </w:tc>
      </w:tr>
      <w:tr w:rsidR="001974D5" w:rsidRPr="00112138" w14:paraId="76992798" w14:textId="77777777" w:rsidTr="00E10163">
        <w:trPr>
          <w:cantSplit/>
          <w:trHeight w:val="422"/>
        </w:trPr>
        <w:tc>
          <w:tcPr>
            <w:tcW w:w="1548" w:type="dxa"/>
            <w:vMerge/>
            <w:tcBorders>
              <w:right w:val="single" w:sz="4" w:space="0" w:color="auto"/>
            </w:tcBorders>
          </w:tcPr>
          <w:p w14:paraId="339CCA86" w14:textId="77777777" w:rsidR="001974D5" w:rsidRPr="00112138" w:rsidRDefault="001974D5" w:rsidP="001974D5">
            <w:pPr>
              <w:pStyle w:val="Text"/>
              <w:spacing w:before="100" w:after="100"/>
              <w:rPr>
                <w:b/>
                <w:bCs/>
                <w:sz w:val="16"/>
              </w:rPr>
            </w:pPr>
          </w:p>
        </w:tc>
        <w:tc>
          <w:tcPr>
            <w:tcW w:w="4122" w:type="dxa"/>
            <w:tcBorders>
              <w:top w:val="single" w:sz="4" w:space="0" w:color="auto"/>
              <w:left w:val="single" w:sz="4" w:space="0" w:color="auto"/>
              <w:bottom w:val="single" w:sz="4" w:space="0" w:color="auto"/>
              <w:right w:val="single" w:sz="4" w:space="0" w:color="auto"/>
            </w:tcBorders>
          </w:tcPr>
          <w:p w14:paraId="21124B20"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Internal audit</w:t>
            </w:r>
          </w:p>
        </w:tc>
        <w:tc>
          <w:tcPr>
            <w:tcW w:w="2268" w:type="dxa"/>
            <w:tcBorders>
              <w:top w:val="single" w:sz="4" w:space="0" w:color="auto"/>
              <w:left w:val="single" w:sz="4" w:space="0" w:color="auto"/>
              <w:bottom w:val="single" w:sz="4" w:space="0" w:color="auto"/>
            </w:tcBorders>
            <w:shd w:val="clear" w:color="auto" w:fill="auto"/>
          </w:tcPr>
          <w:p w14:paraId="55D8D94C" w14:textId="77777777" w:rsidR="001974D5" w:rsidRPr="00562CEA" w:rsidRDefault="001974D5" w:rsidP="001974D5">
            <w:pPr>
              <w:pStyle w:val="Text"/>
              <w:spacing w:before="100" w:after="100"/>
              <w:rPr>
                <w:sz w:val="16"/>
                <w:szCs w:val="16"/>
              </w:rPr>
            </w:pPr>
            <w:r>
              <w:rPr>
                <w:sz w:val="16"/>
                <w:szCs w:val="16"/>
              </w:rPr>
              <w:t>ARRs – section 14.3</w:t>
            </w:r>
          </w:p>
        </w:tc>
        <w:tc>
          <w:tcPr>
            <w:tcW w:w="1654" w:type="dxa"/>
            <w:tcBorders>
              <w:top w:val="single" w:sz="4" w:space="0" w:color="auto"/>
              <w:left w:val="single" w:sz="4" w:space="0" w:color="auto"/>
              <w:bottom w:val="single" w:sz="4" w:space="0" w:color="auto"/>
            </w:tcBorders>
            <w:shd w:val="clear" w:color="auto" w:fill="auto"/>
          </w:tcPr>
          <w:p w14:paraId="7B152E2B" w14:textId="77777777" w:rsidR="001974D5" w:rsidRPr="00112138" w:rsidRDefault="00957112" w:rsidP="001974D5">
            <w:pPr>
              <w:pStyle w:val="Text"/>
              <w:spacing w:before="100" w:after="100"/>
              <w:jc w:val="center"/>
              <w:rPr>
                <w:sz w:val="16"/>
                <w:szCs w:val="16"/>
              </w:rPr>
            </w:pPr>
            <w:r>
              <w:rPr>
                <w:sz w:val="16"/>
                <w:szCs w:val="16"/>
              </w:rPr>
              <w:t>30-31</w:t>
            </w:r>
          </w:p>
        </w:tc>
      </w:tr>
      <w:tr w:rsidR="001974D5" w:rsidRPr="00112138" w14:paraId="5F2EB8DE" w14:textId="77777777" w:rsidTr="00E10163">
        <w:trPr>
          <w:cantSplit/>
          <w:trHeight w:val="422"/>
        </w:trPr>
        <w:tc>
          <w:tcPr>
            <w:tcW w:w="1548" w:type="dxa"/>
            <w:vMerge/>
            <w:tcBorders>
              <w:right w:val="single" w:sz="4" w:space="0" w:color="auto"/>
            </w:tcBorders>
          </w:tcPr>
          <w:p w14:paraId="6C90FBB6" w14:textId="77777777" w:rsidR="001974D5" w:rsidRPr="00112138" w:rsidRDefault="001974D5" w:rsidP="001974D5">
            <w:pPr>
              <w:pStyle w:val="Text"/>
              <w:spacing w:before="100" w:after="100"/>
              <w:rPr>
                <w:b/>
                <w:bCs/>
                <w:sz w:val="16"/>
              </w:rPr>
            </w:pPr>
          </w:p>
        </w:tc>
        <w:tc>
          <w:tcPr>
            <w:tcW w:w="4122" w:type="dxa"/>
            <w:tcBorders>
              <w:top w:val="single" w:sz="4" w:space="0" w:color="auto"/>
              <w:left w:val="single" w:sz="4" w:space="0" w:color="auto"/>
              <w:bottom w:val="single" w:sz="4" w:space="0" w:color="auto"/>
              <w:right w:val="single" w:sz="4" w:space="0" w:color="auto"/>
            </w:tcBorders>
          </w:tcPr>
          <w:p w14:paraId="11155AF3"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External scrutiny</w:t>
            </w:r>
          </w:p>
        </w:tc>
        <w:tc>
          <w:tcPr>
            <w:tcW w:w="2268" w:type="dxa"/>
            <w:tcBorders>
              <w:top w:val="single" w:sz="4" w:space="0" w:color="auto"/>
              <w:left w:val="single" w:sz="4" w:space="0" w:color="auto"/>
              <w:bottom w:val="single" w:sz="4" w:space="0" w:color="auto"/>
            </w:tcBorders>
            <w:shd w:val="clear" w:color="auto" w:fill="auto"/>
          </w:tcPr>
          <w:p w14:paraId="7B4ECA0E" w14:textId="77777777" w:rsidR="001974D5" w:rsidRPr="00977D5F" w:rsidRDefault="001974D5" w:rsidP="001974D5">
            <w:pPr>
              <w:pStyle w:val="Text"/>
              <w:spacing w:before="100" w:after="100"/>
              <w:rPr>
                <w:sz w:val="16"/>
                <w:szCs w:val="16"/>
              </w:rPr>
            </w:pPr>
            <w:r>
              <w:rPr>
                <w:sz w:val="16"/>
                <w:szCs w:val="16"/>
              </w:rPr>
              <w:t>ARRs – section 14</w:t>
            </w:r>
            <w:r w:rsidRPr="00977D5F">
              <w:rPr>
                <w:sz w:val="16"/>
                <w:szCs w:val="16"/>
              </w:rPr>
              <w:t>.4</w:t>
            </w:r>
          </w:p>
        </w:tc>
        <w:tc>
          <w:tcPr>
            <w:tcW w:w="1654" w:type="dxa"/>
            <w:tcBorders>
              <w:top w:val="single" w:sz="4" w:space="0" w:color="auto"/>
              <w:left w:val="single" w:sz="4" w:space="0" w:color="auto"/>
              <w:bottom w:val="single" w:sz="4" w:space="0" w:color="auto"/>
            </w:tcBorders>
            <w:shd w:val="clear" w:color="auto" w:fill="auto"/>
          </w:tcPr>
          <w:p w14:paraId="18AA7A9E" w14:textId="77777777" w:rsidR="001974D5" w:rsidRPr="00112138" w:rsidRDefault="00957112" w:rsidP="001974D5">
            <w:pPr>
              <w:pStyle w:val="Text"/>
              <w:spacing w:before="100" w:after="100"/>
              <w:jc w:val="center"/>
              <w:rPr>
                <w:sz w:val="16"/>
                <w:szCs w:val="16"/>
              </w:rPr>
            </w:pPr>
            <w:r>
              <w:rPr>
                <w:sz w:val="16"/>
                <w:szCs w:val="16"/>
              </w:rPr>
              <w:t>29-30</w:t>
            </w:r>
          </w:p>
        </w:tc>
      </w:tr>
      <w:tr w:rsidR="001974D5" w:rsidRPr="00112138" w14:paraId="5B28F6E5" w14:textId="77777777" w:rsidTr="00E10163">
        <w:trPr>
          <w:cantSplit/>
          <w:trHeight w:val="422"/>
        </w:trPr>
        <w:tc>
          <w:tcPr>
            <w:tcW w:w="1548" w:type="dxa"/>
            <w:vMerge/>
            <w:tcBorders>
              <w:bottom w:val="single" w:sz="4" w:space="0" w:color="auto"/>
              <w:right w:val="single" w:sz="4" w:space="0" w:color="auto"/>
            </w:tcBorders>
          </w:tcPr>
          <w:p w14:paraId="1E7702B4" w14:textId="77777777" w:rsidR="001974D5" w:rsidRPr="00112138" w:rsidRDefault="001974D5" w:rsidP="001974D5">
            <w:pPr>
              <w:pStyle w:val="Text"/>
              <w:spacing w:before="100" w:after="100"/>
              <w:rPr>
                <w:b/>
                <w:bCs/>
                <w:sz w:val="16"/>
              </w:rPr>
            </w:pPr>
          </w:p>
        </w:tc>
        <w:tc>
          <w:tcPr>
            <w:tcW w:w="4122" w:type="dxa"/>
            <w:tcBorders>
              <w:top w:val="single" w:sz="4" w:space="0" w:color="auto"/>
              <w:left w:val="single" w:sz="4" w:space="0" w:color="auto"/>
              <w:bottom w:val="single" w:sz="4" w:space="0" w:color="auto"/>
              <w:right w:val="single" w:sz="4" w:space="0" w:color="auto"/>
            </w:tcBorders>
          </w:tcPr>
          <w:p w14:paraId="56AF7600"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Information systems and recordkeeping</w:t>
            </w:r>
          </w:p>
        </w:tc>
        <w:tc>
          <w:tcPr>
            <w:tcW w:w="2268" w:type="dxa"/>
            <w:tcBorders>
              <w:top w:val="single" w:sz="4" w:space="0" w:color="auto"/>
              <w:left w:val="single" w:sz="4" w:space="0" w:color="auto"/>
              <w:bottom w:val="single" w:sz="4" w:space="0" w:color="auto"/>
            </w:tcBorders>
            <w:shd w:val="clear" w:color="auto" w:fill="auto"/>
          </w:tcPr>
          <w:p w14:paraId="244ECA33" w14:textId="77777777" w:rsidR="001974D5" w:rsidRPr="00E522CB" w:rsidRDefault="001974D5" w:rsidP="001974D5">
            <w:pPr>
              <w:pStyle w:val="Text"/>
              <w:spacing w:before="100" w:after="100"/>
              <w:rPr>
                <w:sz w:val="16"/>
                <w:szCs w:val="16"/>
              </w:rPr>
            </w:pPr>
            <w:r>
              <w:rPr>
                <w:sz w:val="16"/>
                <w:szCs w:val="16"/>
              </w:rPr>
              <w:t>ARRs – section 14</w:t>
            </w:r>
            <w:r w:rsidRPr="00E522CB">
              <w:rPr>
                <w:sz w:val="16"/>
                <w:szCs w:val="16"/>
              </w:rPr>
              <w:t>.5</w:t>
            </w:r>
          </w:p>
        </w:tc>
        <w:tc>
          <w:tcPr>
            <w:tcW w:w="1654" w:type="dxa"/>
            <w:tcBorders>
              <w:top w:val="single" w:sz="4" w:space="0" w:color="auto"/>
              <w:left w:val="single" w:sz="4" w:space="0" w:color="auto"/>
              <w:bottom w:val="single" w:sz="4" w:space="0" w:color="auto"/>
            </w:tcBorders>
            <w:shd w:val="clear" w:color="auto" w:fill="auto"/>
          </w:tcPr>
          <w:p w14:paraId="7DAFC517" w14:textId="77777777" w:rsidR="001974D5" w:rsidRPr="00112138" w:rsidRDefault="00957112" w:rsidP="001974D5">
            <w:pPr>
              <w:pStyle w:val="Text"/>
              <w:spacing w:before="100" w:after="100"/>
              <w:jc w:val="center"/>
              <w:rPr>
                <w:sz w:val="16"/>
                <w:szCs w:val="16"/>
              </w:rPr>
            </w:pPr>
            <w:r>
              <w:rPr>
                <w:sz w:val="16"/>
                <w:szCs w:val="16"/>
              </w:rPr>
              <w:t>31</w:t>
            </w:r>
          </w:p>
        </w:tc>
      </w:tr>
      <w:tr w:rsidR="001974D5" w:rsidRPr="00112138" w14:paraId="5CE2C7F0" w14:textId="77777777" w:rsidTr="00E10163">
        <w:trPr>
          <w:cantSplit/>
        </w:trPr>
        <w:tc>
          <w:tcPr>
            <w:tcW w:w="1548" w:type="dxa"/>
            <w:vMerge w:val="restart"/>
            <w:tcBorders>
              <w:top w:val="single" w:sz="4" w:space="0" w:color="auto"/>
              <w:right w:val="single" w:sz="4" w:space="0" w:color="auto"/>
            </w:tcBorders>
          </w:tcPr>
          <w:p w14:paraId="4D948CA0" w14:textId="77777777" w:rsidR="001974D5" w:rsidRPr="00112138" w:rsidRDefault="001974D5" w:rsidP="001974D5">
            <w:pPr>
              <w:pStyle w:val="Text"/>
              <w:spacing w:before="100" w:after="100"/>
              <w:rPr>
                <w:b/>
                <w:bCs/>
                <w:sz w:val="16"/>
                <w:szCs w:val="16"/>
              </w:rPr>
            </w:pPr>
            <w:r w:rsidRPr="00112138">
              <w:rPr>
                <w:b/>
                <w:bCs/>
                <w:sz w:val="16"/>
                <w:szCs w:val="16"/>
              </w:rPr>
              <w:lastRenderedPageBreak/>
              <w:t>Governance – human resources</w:t>
            </w:r>
          </w:p>
        </w:tc>
        <w:tc>
          <w:tcPr>
            <w:tcW w:w="4122" w:type="dxa"/>
            <w:tcBorders>
              <w:top w:val="single" w:sz="4" w:space="0" w:color="auto"/>
              <w:left w:val="single" w:sz="4" w:space="0" w:color="auto"/>
              <w:bottom w:val="single" w:sz="4" w:space="0" w:color="auto"/>
              <w:right w:val="single" w:sz="4" w:space="0" w:color="auto"/>
            </w:tcBorders>
          </w:tcPr>
          <w:p w14:paraId="56E3C35F"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Strategic workforce planning and performance</w:t>
            </w:r>
          </w:p>
        </w:tc>
        <w:tc>
          <w:tcPr>
            <w:tcW w:w="2268" w:type="dxa"/>
            <w:tcBorders>
              <w:top w:val="single" w:sz="4" w:space="0" w:color="auto"/>
              <w:left w:val="single" w:sz="4" w:space="0" w:color="auto"/>
              <w:bottom w:val="single" w:sz="4" w:space="0" w:color="auto"/>
            </w:tcBorders>
            <w:shd w:val="clear" w:color="auto" w:fill="auto"/>
          </w:tcPr>
          <w:p w14:paraId="7ACAE6E7" w14:textId="77777777" w:rsidR="001974D5" w:rsidRPr="00E522CB" w:rsidRDefault="001974D5" w:rsidP="001974D5">
            <w:pPr>
              <w:pStyle w:val="Text"/>
              <w:spacing w:before="100" w:after="100"/>
              <w:rPr>
                <w:sz w:val="16"/>
                <w:szCs w:val="16"/>
              </w:rPr>
            </w:pPr>
            <w:r>
              <w:rPr>
                <w:sz w:val="16"/>
                <w:szCs w:val="16"/>
              </w:rPr>
              <w:t>ARRs – section 15</w:t>
            </w:r>
            <w:r w:rsidRPr="00E522CB">
              <w:rPr>
                <w:sz w:val="16"/>
                <w:szCs w:val="16"/>
              </w:rPr>
              <w:t>.1</w:t>
            </w:r>
          </w:p>
        </w:tc>
        <w:tc>
          <w:tcPr>
            <w:tcW w:w="1654" w:type="dxa"/>
            <w:tcBorders>
              <w:top w:val="single" w:sz="4" w:space="0" w:color="auto"/>
              <w:left w:val="single" w:sz="4" w:space="0" w:color="auto"/>
              <w:bottom w:val="single" w:sz="4" w:space="0" w:color="auto"/>
            </w:tcBorders>
            <w:shd w:val="clear" w:color="auto" w:fill="auto"/>
          </w:tcPr>
          <w:p w14:paraId="5509327D" w14:textId="77777777" w:rsidR="001974D5" w:rsidRPr="00112138" w:rsidRDefault="001624BD" w:rsidP="001974D5">
            <w:pPr>
              <w:pStyle w:val="Text"/>
              <w:spacing w:before="100" w:after="100"/>
              <w:jc w:val="center"/>
              <w:rPr>
                <w:sz w:val="16"/>
                <w:szCs w:val="16"/>
              </w:rPr>
            </w:pPr>
            <w:r>
              <w:rPr>
                <w:sz w:val="16"/>
                <w:szCs w:val="16"/>
              </w:rPr>
              <w:t>32-34</w:t>
            </w:r>
          </w:p>
        </w:tc>
      </w:tr>
      <w:tr w:rsidR="001974D5" w:rsidRPr="00112138" w14:paraId="25B9FAEB" w14:textId="77777777" w:rsidTr="00E10163">
        <w:trPr>
          <w:cantSplit/>
        </w:trPr>
        <w:tc>
          <w:tcPr>
            <w:tcW w:w="1548" w:type="dxa"/>
            <w:vMerge/>
            <w:tcBorders>
              <w:right w:val="single" w:sz="4" w:space="0" w:color="auto"/>
            </w:tcBorders>
          </w:tcPr>
          <w:p w14:paraId="031D3CED" w14:textId="77777777" w:rsidR="001974D5" w:rsidRPr="00112138" w:rsidRDefault="001974D5" w:rsidP="001974D5">
            <w:pPr>
              <w:pStyle w:val="Text"/>
              <w:spacing w:before="100" w:after="100"/>
              <w:rPr>
                <w:b/>
                <w:bCs/>
                <w:sz w:val="16"/>
                <w:szCs w:val="16"/>
              </w:rPr>
            </w:pPr>
          </w:p>
        </w:tc>
        <w:tc>
          <w:tcPr>
            <w:tcW w:w="4122" w:type="dxa"/>
            <w:tcBorders>
              <w:top w:val="single" w:sz="4" w:space="0" w:color="auto"/>
              <w:left w:val="single" w:sz="4" w:space="0" w:color="auto"/>
              <w:bottom w:val="single" w:sz="4" w:space="0" w:color="auto"/>
              <w:right w:val="single" w:sz="4" w:space="0" w:color="auto"/>
            </w:tcBorders>
          </w:tcPr>
          <w:p w14:paraId="13B6F172"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Early retirement, redundancy and retrenchment</w:t>
            </w:r>
          </w:p>
        </w:tc>
        <w:tc>
          <w:tcPr>
            <w:tcW w:w="2268" w:type="dxa"/>
            <w:tcBorders>
              <w:top w:val="single" w:sz="4" w:space="0" w:color="auto"/>
              <w:left w:val="single" w:sz="4" w:space="0" w:color="auto"/>
              <w:bottom w:val="single" w:sz="4" w:space="0" w:color="auto"/>
            </w:tcBorders>
            <w:shd w:val="clear" w:color="auto" w:fill="auto"/>
          </w:tcPr>
          <w:p w14:paraId="6C594F5F" w14:textId="77777777" w:rsidR="001974D5" w:rsidRDefault="001974D5" w:rsidP="001974D5">
            <w:pPr>
              <w:pStyle w:val="Text"/>
              <w:spacing w:before="100" w:after="100"/>
              <w:rPr>
                <w:sz w:val="16"/>
                <w:szCs w:val="16"/>
              </w:rPr>
            </w:pPr>
            <w:r w:rsidRPr="00710057">
              <w:rPr>
                <w:sz w:val="16"/>
                <w:szCs w:val="16"/>
              </w:rPr>
              <w:t xml:space="preserve">Directive No.16/16 </w:t>
            </w:r>
            <w:r w:rsidRPr="00710057">
              <w:rPr>
                <w:i/>
                <w:sz w:val="16"/>
                <w:szCs w:val="16"/>
              </w:rPr>
              <w:t xml:space="preserve">Early Retirement, Redundancy and Retrenchment </w:t>
            </w:r>
            <w:r w:rsidRPr="00710057">
              <w:rPr>
                <w:sz w:val="16"/>
                <w:szCs w:val="16"/>
              </w:rPr>
              <w:t>(from 20 May 2016</w:t>
            </w:r>
            <w:r>
              <w:rPr>
                <w:sz w:val="16"/>
                <w:szCs w:val="16"/>
              </w:rPr>
              <w:t xml:space="preserve"> – 10 May 2018</w:t>
            </w:r>
            <w:r w:rsidRPr="00710057">
              <w:rPr>
                <w:sz w:val="16"/>
                <w:szCs w:val="16"/>
              </w:rPr>
              <w:t>)</w:t>
            </w:r>
          </w:p>
          <w:p w14:paraId="3946DFC1" w14:textId="77777777" w:rsidR="001974D5" w:rsidRDefault="001974D5" w:rsidP="001974D5">
            <w:pPr>
              <w:pStyle w:val="Text"/>
              <w:spacing w:before="100" w:after="100"/>
              <w:rPr>
                <w:sz w:val="16"/>
                <w:szCs w:val="16"/>
              </w:rPr>
            </w:pPr>
            <w:r>
              <w:rPr>
                <w:sz w:val="16"/>
                <w:szCs w:val="16"/>
              </w:rPr>
              <w:t>Directive No.4</w:t>
            </w:r>
            <w:r w:rsidRPr="00710057">
              <w:rPr>
                <w:sz w:val="16"/>
                <w:szCs w:val="16"/>
              </w:rPr>
              <w:t>/1</w:t>
            </w:r>
            <w:r>
              <w:rPr>
                <w:sz w:val="16"/>
                <w:szCs w:val="16"/>
              </w:rPr>
              <w:t>8</w:t>
            </w:r>
            <w:r w:rsidRPr="00710057">
              <w:rPr>
                <w:sz w:val="16"/>
                <w:szCs w:val="16"/>
              </w:rPr>
              <w:t xml:space="preserve"> </w:t>
            </w:r>
            <w:r w:rsidRPr="00710057">
              <w:rPr>
                <w:i/>
                <w:sz w:val="16"/>
                <w:szCs w:val="16"/>
              </w:rPr>
              <w:t xml:space="preserve">Early Retirement, Redundancy and Retrenchment </w:t>
            </w:r>
            <w:r w:rsidRPr="00710057">
              <w:rPr>
                <w:sz w:val="16"/>
                <w:szCs w:val="16"/>
              </w:rPr>
              <w:t xml:space="preserve">(from </w:t>
            </w:r>
            <w:r>
              <w:rPr>
                <w:sz w:val="16"/>
                <w:szCs w:val="16"/>
              </w:rPr>
              <w:t>11 May 2018</w:t>
            </w:r>
            <w:r w:rsidRPr="00710057">
              <w:rPr>
                <w:sz w:val="16"/>
                <w:szCs w:val="16"/>
              </w:rPr>
              <w:t>)</w:t>
            </w:r>
          </w:p>
          <w:p w14:paraId="6F02CCD9" w14:textId="77777777" w:rsidR="001974D5" w:rsidRPr="00E522CB" w:rsidRDefault="001974D5" w:rsidP="001974D5">
            <w:pPr>
              <w:pStyle w:val="Text"/>
              <w:spacing w:before="100" w:after="100"/>
              <w:rPr>
                <w:sz w:val="16"/>
                <w:szCs w:val="16"/>
              </w:rPr>
            </w:pPr>
            <w:r>
              <w:rPr>
                <w:sz w:val="16"/>
                <w:szCs w:val="16"/>
              </w:rPr>
              <w:t>ARRs – section 15</w:t>
            </w:r>
            <w:r w:rsidRPr="00E522CB">
              <w:rPr>
                <w:sz w:val="16"/>
                <w:szCs w:val="16"/>
              </w:rPr>
              <w:t>.2</w:t>
            </w:r>
          </w:p>
        </w:tc>
        <w:tc>
          <w:tcPr>
            <w:tcW w:w="1654" w:type="dxa"/>
            <w:tcBorders>
              <w:top w:val="single" w:sz="4" w:space="0" w:color="auto"/>
              <w:left w:val="single" w:sz="4" w:space="0" w:color="auto"/>
              <w:bottom w:val="single" w:sz="4" w:space="0" w:color="auto"/>
            </w:tcBorders>
            <w:shd w:val="clear" w:color="auto" w:fill="auto"/>
          </w:tcPr>
          <w:p w14:paraId="59798396" w14:textId="77777777" w:rsidR="001974D5" w:rsidRPr="00112138" w:rsidRDefault="001D5D87" w:rsidP="001974D5">
            <w:pPr>
              <w:pStyle w:val="Text"/>
              <w:spacing w:before="100" w:after="100"/>
              <w:jc w:val="center"/>
              <w:rPr>
                <w:sz w:val="16"/>
                <w:szCs w:val="16"/>
              </w:rPr>
            </w:pPr>
            <w:r>
              <w:rPr>
                <w:sz w:val="16"/>
                <w:szCs w:val="16"/>
              </w:rPr>
              <w:t>34</w:t>
            </w:r>
          </w:p>
        </w:tc>
      </w:tr>
      <w:tr w:rsidR="001974D5" w:rsidRPr="00112138" w14:paraId="1D700521" w14:textId="77777777" w:rsidTr="00E10163">
        <w:trPr>
          <w:cantSplit/>
        </w:trPr>
        <w:tc>
          <w:tcPr>
            <w:tcW w:w="1548" w:type="dxa"/>
            <w:vMerge w:val="restart"/>
            <w:tcBorders>
              <w:top w:val="single" w:sz="4" w:space="0" w:color="auto"/>
              <w:right w:val="single" w:sz="4" w:space="0" w:color="auto"/>
            </w:tcBorders>
          </w:tcPr>
          <w:p w14:paraId="6ADBD2A6" w14:textId="77777777" w:rsidR="001974D5" w:rsidRPr="00AD39B8" w:rsidRDefault="001974D5" w:rsidP="001974D5">
            <w:pPr>
              <w:pStyle w:val="Text"/>
              <w:spacing w:before="100" w:after="100"/>
              <w:rPr>
                <w:b/>
                <w:bCs/>
                <w:sz w:val="16"/>
              </w:rPr>
            </w:pPr>
            <w:r w:rsidRPr="00AD39B8">
              <w:rPr>
                <w:b/>
                <w:bCs/>
                <w:sz w:val="16"/>
              </w:rPr>
              <w:t>Open Data</w:t>
            </w:r>
          </w:p>
        </w:tc>
        <w:tc>
          <w:tcPr>
            <w:tcW w:w="4122" w:type="dxa"/>
            <w:tcBorders>
              <w:top w:val="single" w:sz="4" w:space="0" w:color="auto"/>
              <w:left w:val="single" w:sz="4" w:space="0" w:color="auto"/>
              <w:bottom w:val="single" w:sz="4" w:space="0" w:color="auto"/>
              <w:right w:val="single" w:sz="4" w:space="0" w:color="auto"/>
            </w:tcBorders>
          </w:tcPr>
          <w:p w14:paraId="0E2D1CE0"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Statement advising publication of information</w:t>
            </w:r>
          </w:p>
        </w:tc>
        <w:tc>
          <w:tcPr>
            <w:tcW w:w="2268" w:type="dxa"/>
            <w:tcBorders>
              <w:top w:val="single" w:sz="4" w:space="0" w:color="auto"/>
              <w:left w:val="single" w:sz="4" w:space="0" w:color="auto"/>
              <w:bottom w:val="single" w:sz="4" w:space="0" w:color="auto"/>
            </w:tcBorders>
            <w:shd w:val="clear" w:color="auto" w:fill="auto"/>
          </w:tcPr>
          <w:p w14:paraId="73B96682" w14:textId="77777777" w:rsidR="001974D5" w:rsidRPr="00E522CB" w:rsidRDefault="001974D5" w:rsidP="001974D5">
            <w:pPr>
              <w:pStyle w:val="Text"/>
              <w:spacing w:before="100" w:after="100"/>
              <w:rPr>
                <w:sz w:val="16"/>
                <w:szCs w:val="16"/>
              </w:rPr>
            </w:pPr>
            <w:r>
              <w:rPr>
                <w:sz w:val="16"/>
                <w:szCs w:val="16"/>
              </w:rPr>
              <w:t xml:space="preserve">ARRs </w:t>
            </w:r>
            <w:r w:rsidRPr="00E522CB">
              <w:rPr>
                <w:sz w:val="16"/>
                <w:szCs w:val="16"/>
              </w:rPr>
              <w:t xml:space="preserve">– </w:t>
            </w:r>
            <w:r>
              <w:rPr>
                <w:sz w:val="16"/>
                <w:szCs w:val="16"/>
              </w:rPr>
              <w:t>section 16</w:t>
            </w:r>
          </w:p>
        </w:tc>
        <w:tc>
          <w:tcPr>
            <w:tcW w:w="1654" w:type="dxa"/>
            <w:tcBorders>
              <w:top w:val="single" w:sz="4" w:space="0" w:color="auto"/>
              <w:left w:val="single" w:sz="4" w:space="0" w:color="auto"/>
              <w:bottom w:val="single" w:sz="4" w:space="0" w:color="auto"/>
            </w:tcBorders>
            <w:shd w:val="clear" w:color="auto" w:fill="auto"/>
          </w:tcPr>
          <w:p w14:paraId="2A9E7EB7" w14:textId="77777777" w:rsidR="001974D5" w:rsidRPr="00112138" w:rsidRDefault="00E30FE8" w:rsidP="001974D5">
            <w:pPr>
              <w:pStyle w:val="Text"/>
              <w:spacing w:before="100" w:after="100"/>
              <w:jc w:val="center"/>
              <w:rPr>
                <w:sz w:val="16"/>
                <w:szCs w:val="16"/>
              </w:rPr>
            </w:pPr>
            <w:r>
              <w:rPr>
                <w:sz w:val="16"/>
                <w:szCs w:val="16"/>
              </w:rPr>
              <w:t>i</w:t>
            </w:r>
          </w:p>
        </w:tc>
      </w:tr>
      <w:tr w:rsidR="001974D5" w:rsidRPr="00112138" w14:paraId="60CCE7CA" w14:textId="77777777" w:rsidTr="00E10163">
        <w:trPr>
          <w:cantSplit/>
        </w:trPr>
        <w:tc>
          <w:tcPr>
            <w:tcW w:w="1548" w:type="dxa"/>
            <w:vMerge/>
            <w:tcBorders>
              <w:right w:val="single" w:sz="4" w:space="0" w:color="auto"/>
            </w:tcBorders>
          </w:tcPr>
          <w:p w14:paraId="6D8183E0" w14:textId="77777777" w:rsidR="001974D5" w:rsidRPr="00AD39B8" w:rsidRDefault="001974D5" w:rsidP="001974D5">
            <w:pPr>
              <w:pStyle w:val="Text"/>
              <w:spacing w:before="100" w:after="100"/>
              <w:rPr>
                <w:b/>
                <w:bCs/>
                <w:sz w:val="16"/>
              </w:rPr>
            </w:pPr>
          </w:p>
        </w:tc>
        <w:tc>
          <w:tcPr>
            <w:tcW w:w="4122" w:type="dxa"/>
            <w:tcBorders>
              <w:top w:val="single" w:sz="4" w:space="0" w:color="auto"/>
              <w:left w:val="single" w:sz="4" w:space="0" w:color="auto"/>
              <w:bottom w:val="single" w:sz="4" w:space="0" w:color="auto"/>
              <w:right w:val="single" w:sz="4" w:space="0" w:color="auto"/>
            </w:tcBorders>
          </w:tcPr>
          <w:p w14:paraId="1CAD0DC1"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 xml:space="preserve">Consultancies </w:t>
            </w:r>
          </w:p>
        </w:tc>
        <w:tc>
          <w:tcPr>
            <w:tcW w:w="2268" w:type="dxa"/>
            <w:tcBorders>
              <w:top w:val="single" w:sz="4" w:space="0" w:color="auto"/>
              <w:left w:val="single" w:sz="4" w:space="0" w:color="auto"/>
              <w:bottom w:val="single" w:sz="4" w:space="0" w:color="auto"/>
            </w:tcBorders>
            <w:shd w:val="clear" w:color="auto" w:fill="auto"/>
          </w:tcPr>
          <w:p w14:paraId="35F575D0" w14:textId="77777777" w:rsidR="001974D5" w:rsidRPr="00E522CB" w:rsidRDefault="001974D5" w:rsidP="001974D5">
            <w:pPr>
              <w:pStyle w:val="Text"/>
              <w:spacing w:before="100" w:after="100"/>
              <w:rPr>
                <w:sz w:val="16"/>
                <w:szCs w:val="16"/>
              </w:rPr>
            </w:pPr>
            <w:r>
              <w:rPr>
                <w:sz w:val="16"/>
                <w:szCs w:val="16"/>
              </w:rPr>
              <w:t>ARRs – section 33</w:t>
            </w:r>
            <w:r w:rsidRPr="00E522CB">
              <w:rPr>
                <w:sz w:val="16"/>
                <w:szCs w:val="16"/>
              </w:rPr>
              <w:t>.1</w:t>
            </w:r>
          </w:p>
        </w:tc>
        <w:tc>
          <w:tcPr>
            <w:tcW w:w="1654" w:type="dxa"/>
            <w:tcBorders>
              <w:top w:val="single" w:sz="4" w:space="0" w:color="auto"/>
              <w:left w:val="single" w:sz="4" w:space="0" w:color="auto"/>
              <w:bottom w:val="single" w:sz="4" w:space="0" w:color="auto"/>
            </w:tcBorders>
            <w:shd w:val="clear" w:color="auto" w:fill="auto"/>
          </w:tcPr>
          <w:p w14:paraId="24B57818" w14:textId="77777777" w:rsidR="001974D5" w:rsidRPr="00112138" w:rsidRDefault="00E30FE8" w:rsidP="001974D5">
            <w:pPr>
              <w:pStyle w:val="Text"/>
              <w:spacing w:before="100" w:after="100"/>
              <w:jc w:val="center"/>
              <w:rPr>
                <w:sz w:val="16"/>
                <w:szCs w:val="16"/>
              </w:rPr>
            </w:pPr>
            <w:r>
              <w:rPr>
                <w:sz w:val="16"/>
                <w:szCs w:val="16"/>
              </w:rPr>
              <w:t>i</w:t>
            </w:r>
          </w:p>
        </w:tc>
      </w:tr>
      <w:tr w:rsidR="001974D5" w:rsidRPr="00112138" w14:paraId="51C87ACD" w14:textId="77777777" w:rsidTr="00E10163">
        <w:trPr>
          <w:cantSplit/>
        </w:trPr>
        <w:tc>
          <w:tcPr>
            <w:tcW w:w="1548" w:type="dxa"/>
            <w:vMerge/>
            <w:tcBorders>
              <w:right w:val="single" w:sz="4" w:space="0" w:color="auto"/>
            </w:tcBorders>
          </w:tcPr>
          <w:p w14:paraId="2FE51DA1" w14:textId="77777777" w:rsidR="001974D5" w:rsidRPr="00AD39B8" w:rsidRDefault="001974D5" w:rsidP="001974D5">
            <w:pPr>
              <w:pStyle w:val="Text"/>
              <w:spacing w:before="100" w:after="100"/>
              <w:rPr>
                <w:b/>
                <w:bCs/>
                <w:sz w:val="16"/>
              </w:rPr>
            </w:pPr>
          </w:p>
        </w:tc>
        <w:tc>
          <w:tcPr>
            <w:tcW w:w="4122" w:type="dxa"/>
            <w:tcBorders>
              <w:top w:val="single" w:sz="4" w:space="0" w:color="auto"/>
              <w:left w:val="single" w:sz="4" w:space="0" w:color="auto"/>
              <w:bottom w:val="single" w:sz="4" w:space="0" w:color="auto"/>
              <w:right w:val="single" w:sz="4" w:space="0" w:color="auto"/>
            </w:tcBorders>
          </w:tcPr>
          <w:p w14:paraId="03AE7CE3"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Overseas travel</w:t>
            </w:r>
          </w:p>
        </w:tc>
        <w:tc>
          <w:tcPr>
            <w:tcW w:w="2268" w:type="dxa"/>
            <w:tcBorders>
              <w:top w:val="single" w:sz="4" w:space="0" w:color="auto"/>
              <w:left w:val="single" w:sz="4" w:space="0" w:color="auto"/>
              <w:bottom w:val="single" w:sz="4" w:space="0" w:color="auto"/>
            </w:tcBorders>
            <w:shd w:val="clear" w:color="auto" w:fill="auto"/>
          </w:tcPr>
          <w:p w14:paraId="57F9CA4F" w14:textId="77777777" w:rsidR="001974D5" w:rsidRPr="00E522CB" w:rsidRDefault="001974D5" w:rsidP="001974D5">
            <w:pPr>
              <w:pStyle w:val="Text"/>
              <w:spacing w:before="100" w:after="100"/>
              <w:rPr>
                <w:sz w:val="16"/>
                <w:szCs w:val="16"/>
              </w:rPr>
            </w:pPr>
            <w:r>
              <w:rPr>
                <w:sz w:val="16"/>
                <w:szCs w:val="16"/>
              </w:rPr>
              <w:t>ARRs – section 33</w:t>
            </w:r>
            <w:r w:rsidRPr="00E522CB">
              <w:rPr>
                <w:sz w:val="16"/>
                <w:szCs w:val="16"/>
              </w:rPr>
              <w:t>.2</w:t>
            </w:r>
          </w:p>
        </w:tc>
        <w:tc>
          <w:tcPr>
            <w:tcW w:w="1654" w:type="dxa"/>
            <w:tcBorders>
              <w:top w:val="single" w:sz="4" w:space="0" w:color="auto"/>
              <w:left w:val="single" w:sz="4" w:space="0" w:color="auto"/>
              <w:bottom w:val="single" w:sz="4" w:space="0" w:color="auto"/>
            </w:tcBorders>
            <w:shd w:val="clear" w:color="auto" w:fill="auto"/>
          </w:tcPr>
          <w:p w14:paraId="24D31B3B" w14:textId="77777777" w:rsidR="001974D5" w:rsidRPr="00112138" w:rsidRDefault="00E30FE8" w:rsidP="001974D5">
            <w:pPr>
              <w:pStyle w:val="Text"/>
              <w:spacing w:before="100" w:after="100"/>
              <w:jc w:val="center"/>
              <w:rPr>
                <w:sz w:val="16"/>
                <w:szCs w:val="16"/>
              </w:rPr>
            </w:pPr>
            <w:r>
              <w:rPr>
                <w:sz w:val="16"/>
                <w:szCs w:val="16"/>
              </w:rPr>
              <w:t>i</w:t>
            </w:r>
          </w:p>
        </w:tc>
      </w:tr>
      <w:tr w:rsidR="001974D5" w:rsidRPr="00112138" w14:paraId="229909A4" w14:textId="77777777" w:rsidTr="00E10163">
        <w:trPr>
          <w:cantSplit/>
        </w:trPr>
        <w:tc>
          <w:tcPr>
            <w:tcW w:w="1548" w:type="dxa"/>
            <w:vMerge/>
            <w:tcBorders>
              <w:right w:val="single" w:sz="4" w:space="0" w:color="auto"/>
            </w:tcBorders>
          </w:tcPr>
          <w:p w14:paraId="131BF88C" w14:textId="77777777" w:rsidR="001974D5" w:rsidRPr="00AD39B8" w:rsidRDefault="001974D5" w:rsidP="001974D5">
            <w:pPr>
              <w:pStyle w:val="Text"/>
              <w:spacing w:before="100" w:after="100"/>
              <w:rPr>
                <w:b/>
                <w:bCs/>
                <w:sz w:val="16"/>
              </w:rPr>
            </w:pPr>
          </w:p>
        </w:tc>
        <w:tc>
          <w:tcPr>
            <w:tcW w:w="4122" w:type="dxa"/>
            <w:tcBorders>
              <w:top w:val="single" w:sz="4" w:space="0" w:color="auto"/>
              <w:left w:val="single" w:sz="4" w:space="0" w:color="auto"/>
              <w:bottom w:val="single" w:sz="4" w:space="0" w:color="auto"/>
              <w:right w:val="single" w:sz="4" w:space="0" w:color="auto"/>
            </w:tcBorders>
          </w:tcPr>
          <w:p w14:paraId="331ABFD1"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Queensland Language Services Policy</w:t>
            </w:r>
          </w:p>
        </w:tc>
        <w:tc>
          <w:tcPr>
            <w:tcW w:w="2268" w:type="dxa"/>
            <w:tcBorders>
              <w:top w:val="single" w:sz="4" w:space="0" w:color="auto"/>
              <w:left w:val="single" w:sz="4" w:space="0" w:color="auto"/>
              <w:bottom w:val="single" w:sz="4" w:space="0" w:color="auto"/>
            </w:tcBorders>
            <w:shd w:val="clear" w:color="auto" w:fill="auto"/>
          </w:tcPr>
          <w:p w14:paraId="243D8E2B" w14:textId="77777777" w:rsidR="001974D5" w:rsidRPr="00E522CB" w:rsidRDefault="001974D5" w:rsidP="001974D5">
            <w:pPr>
              <w:pStyle w:val="Text"/>
              <w:spacing w:before="100" w:after="100"/>
              <w:rPr>
                <w:sz w:val="16"/>
                <w:szCs w:val="16"/>
              </w:rPr>
            </w:pPr>
            <w:r>
              <w:rPr>
                <w:sz w:val="16"/>
                <w:szCs w:val="16"/>
              </w:rPr>
              <w:t>ARRs – section 33</w:t>
            </w:r>
            <w:r w:rsidRPr="00E522CB">
              <w:rPr>
                <w:sz w:val="16"/>
                <w:szCs w:val="16"/>
              </w:rPr>
              <w:t>.3</w:t>
            </w:r>
          </w:p>
        </w:tc>
        <w:tc>
          <w:tcPr>
            <w:tcW w:w="1654" w:type="dxa"/>
            <w:tcBorders>
              <w:top w:val="single" w:sz="4" w:space="0" w:color="auto"/>
              <w:left w:val="single" w:sz="4" w:space="0" w:color="auto"/>
              <w:bottom w:val="single" w:sz="4" w:space="0" w:color="auto"/>
            </w:tcBorders>
            <w:shd w:val="clear" w:color="auto" w:fill="auto"/>
          </w:tcPr>
          <w:p w14:paraId="6883C7E8" w14:textId="77777777" w:rsidR="001974D5" w:rsidRPr="00112138" w:rsidRDefault="00E30FE8" w:rsidP="001974D5">
            <w:pPr>
              <w:pStyle w:val="Text"/>
              <w:spacing w:before="100" w:after="100"/>
              <w:jc w:val="center"/>
              <w:rPr>
                <w:sz w:val="16"/>
                <w:szCs w:val="16"/>
              </w:rPr>
            </w:pPr>
            <w:r>
              <w:rPr>
                <w:sz w:val="16"/>
                <w:szCs w:val="16"/>
              </w:rPr>
              <w:t>i</w:t>
            </w:r>
          </w:p>
        </w:tc>
      </w:tr>
      <w:tr w:rsidR="001974D5" w:rsidRPr="00112138" w14:paraId="277F0694" w14:textId="77777777" w:rsidTr="00E10163">
        <w:trPr>
          <w:cantSplit/>
        </w:trPr>
        <w:tc>
          <w:tcPr>
            <w:tcW w:w="1548" w:type="dxa"/>
            <w:vMerge w:val="restart"/>
            <w:tcBorders>
              <w:top w:val="single" w:sz="4" w:space="0" w:color="auto"/>
              <w:bottom w:val="single" w:sz="4" w:space="0" w:color="auto"/>
              <w:right w:val="single" w:sz="4" w:space="0" w:color="auto"/>
            </w:tcBorders>
          </w:tcPr>
          <w:p w14:paraId="6413A3CE" w14:textId="77777777" w:rsidR="001974D5" w:rsidRPr="00112138" w:rsidRDefault="001974D5" w:rsidP="001974D5">
            <w:pPr>
              <w:pStyle w:val="Text"/>
              <w:spacing w:before="100" w:after="100"/>
              <w:rPr>
                <w:b/>
                <w:bCs/>
                <w:sz w:val="16"/>
              </w:rPr>
            </w:pPr>
            <w:r w:rsidRPr="00112138">
              <w:rPr>
                <w:b/>
                <w:bCs/>
                <w:sz w:val="16"/>
              </w:rPr>
              <w:t>Financial statements</w:t>
            </w:r>
          </w:p>
        </w:tc>
        <w:tc>
          <w:tcPr>
            <w:tcW w:w="4122" w:type="dxa"/>
            <w:tcBorders>
              <w:top w:val="single" w:sz="4" w:space="0" w:color="auto"/>
              <w:left w:val="single" w:sz="4" w:space="0" w:color="auto"/>
              <w:bottom w:val="single" w:sz="4" w:space="0" w:color="auto"/>
              <w:right w:val="single" w:sz="4" w:space="0" w:color="auto"/>
            </w:tcBorders>
          </w:tcPr>
          <w:p w14:paraId="607FFDC3"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Certification of financial statements</w:t>
            </w:r>
          </w:p>
        </w:tc>
        <w:tc>
          <w:tcPr>
            <w:tcW w:w="2268" w:type="dxa"/>
            <w:tcBorders>
              <w:top w:val="single" w:sz="4" w:space="0" w:color="auto"/>
              <w:left w:val="single" w:sz="4" w:space="0" w:color="auto"/>
              <w:bottom w:val="single" w:sz="4" w:space="0" w:color="auto"/>
            </w:tcBorders>
            <w:shd w:val="clear" w:color="auto" w:fill="auto"/>
          </w:tcPr>
          <w:p w14:paraId="2936F935" w14:textId="77777777" w:rsidR="001974D5" w:rsidRPr="00112138" w:rsidRDefault="00FA76A3" w:rsidP="001974D5">
            <w:pPr>
              <w:pStyle w:val="Text"/>
              <w:spacing w:before="100" w:after="100"/>
              <w:rPr>
                <w:sz w:val="16"/>
                <w:szCs w:val="16"/>
              </w:rPr>
            </w:pPr>
            <w:r w:rsidRPr="00D66B0B">
              <w:rPr>
                <w:i/>
                <w:sz w:val="16"/>
                <w:szCs w:val="16"/>
              </w:rPr>
              <w:t>Financial Accountability Act 2009</w:t>
            </w:r>
            <w:r>
              <w:rPr>
                <w:i/>
                <w:sz w:val="16"/>
                <w:szCs w:val="16"/>
              </w:rPr>
              <w:t xml:space="preserve"> </w:t>
            </w:r>
            <w:r w:rsidR="001974D5" w:rsidRPr="00112138">
              <w:rPr>
                <w:sz w:val="16"/>
                <w:szCs w:val="16"/>
              </w:rPr>
              <w:t>– section 62</w:t>
            </w:r>
          </w:p>
          <w:p w14:paraId="3D033827" w14:textId="77777777" w:rsidR="001974D5" w:rsidRDefault="00FA76A3" w:rsidP="001974D5">
            <w:pPr>
              <w:pStyle w:val="Text"/>
              <w:spacing w:before="100" w:after="100"/>
              <w:rPr>
                <w:sz w:val="16"/>
                <w:szCs w:val="16"/>
              </w:rPr>
            </w:pPr>
            <w:r w:rsidRPr="00D66B0B">
              <w:rPr>
                <w:i/>
                <w:sz w:val="16"/>
                <w:szCs w:val="16"/>
              </w:rPr>
              <w:t>Financial and Performance Management Standard 2009</w:t>
            </w:r>
            <w:r>
              <w:rPr>
                <w:i/>
                <w:sz w:val="16"/>
                <w:szCs w:val="16"/>
              </w:rPr>
              <w:t xml:space="preserve"> </w:t>
            </w:r>
            <w:r w:rsidR="001974D5" w:rsidRPr="00112138">
              <w:rPr>
                <w:sz w:val="16"/>
                <w:szCs w:val="16"/>
              </w:rPr>
              <w:t>– sections 42, 43 and 50</w:t>
            </w:r>
          </w:p>
          <w:p w14:paraId="3F8DF819" w14:textId="77777777" w:rsidR="001974D5" w:rsidRPr="00112138" w:rsidRDefault="001974D5" w:rsidP="001974D5">
            <w:pPr>
              <w:pStyle w:val="Text"/>
              <w:spacing w:before="100" w:after="100"/>
              <w:rPr>
                <w:sz w:val="16"/>
                <w:szCs w:val="16"/>
              </w:rPr>
            </w:pPr>
            <w:r>
              <w:rPr>
                <w:sz w:val="16"/>
                <w:szCs w:val="16"/>
              </w:rPr>
              <w:t>ARRs – section 17.1</w:t>
            </w:r>
          </w:p>
        </w:tc>
        <w:tc>
          <w:tcPr>
            <w:tcW w:w="1654" w:type="dxa"/>
            <w:tcBorders>
              <w:top w:val="single" w:sz="4" w:space="0" w:color="auto"/>
              <w:left w:val="single" w:sz="4" w:space="0" w:color="auto"/>
              <w:bottom w:val="single" w:sz="4" w:space="0" w:color="auto"/>
            </w:tcBorders>
            <w:shd w:val="clear" w:color="auto" w:fill="auto"/>
          </w:tcPr>
          <w:p w14:paraId="4473BF4F" w14:textId="77777777" w:rsidR="001974D5" w:rsidRPr="00112138" w:rsidRDefault="00E30FE8" w:rsidP="001974D5">
            <w:pPr>
              <w:pStyle w:val="Text"/>
              <w:spacing w:before="100" w:after="100"/>
              <w:jc w:val="center"/>
              <w:rPr>
                <w:sz w:val="16"/>
                <w:szCs w:val="16"/>
              </w:rPr>
            </w:pPr>
            <w:r>
              <w:rPr>
                <w:sz w:val="16"/>
                <w:szCs w:val="16"/>
              </w:rPr>
              <w:t>51</w:t>
            </w:r>
          </w:p>
        </w:tc>
      </w:tr>
      <w:tr w:rsidR="001974D5" w:rsidRPr="00112138" w14:paraId="73CC8207" w14:textId="77777777" w:rsidTr="00E10163">
        <w:trPr>
          <w:cantSplit/>
        </w:trPr>
        <w:tc>
          <w:tcPr>
            <w:tcW w:w="1548" w:type="dxa"/>
            <w:vMerge/>
            <w:tcBorders>
              <w:top w:val="single" w:sz="4" w:space="0" w:color="auto"/>
              <w:bottom w:val="single" w:sz="4" w:space="0" w:color="auto"/>
              <w:right w:val="single" w:sz="4" w:space="0" w:color="auto"/>
            </w:tcBorders>
          </w:tcPr>
          <w:p w14:paraId="4F2C1D2D" w14:textId="77777777" w:rsidR="001974D5" w:rsidRPr="00112138" w:rsidRDefault="001974D5" w:rsidP="001974D5">
            <w:pPr>
              <w:pStyle w:val="Text"/>
              <w:spacing w:before="100" w:after="100"/>
              <w:rPr>
                <w:bCs/>
                <w:sz w:val="16"/>
              </w:rPr>
            </w:pPr>
          </w:p>
        </w:tc>
        <w:tc>
          <w:tcPr>
            <w:tcW w:w="4122" w:type="dxa"/>
            <w:tcBorders>
              <w:top w:val="single" w:sz="4" w:space="0" w:color="auto"/>
              <w:left w:val="single" w:sz="4" w:space="0" w:color="auto"/>
              <w:bottom w:val="single" w:sz="4" w:space="0" w:color="auto"/>
              <w:right w:val="single" w:sz="4" w:space="0" w:color="auto"/>
            </w:tcBorders>
          </w:tcPr>
          <w:p w14:paraId="6A683723" w14:textId="77777777" w:rsidR="001974D5" w:rsidRPr="0015651E" w:rsidRDefault="001974D5" w:rsidP="001974D5">
            <w:pPr>
              <w:pStyle w:val="Text"/>
              <w:numPr>
                <w:ilvl w:val="0"/>
                <w:numId w:val="14"/>
              </w:numPr>
              <w:tabs>
                <w:tab w:val="clear" w:pos="360"/>
                <w:tab w:val="num" w:pos="252"/>
              </w:tabs>
              <w:spacing w:before="100" w:after="100"/>
              <w:ind w:left="252" w:hanging="252"/>
              <w:rPr>
                <w:sz w:val="16"/>
                <w:szCs w:val="16"/>
              </w:rPr>
            </w:pPr>
            <w:r w:rsidRPr="0015651E">
              <w:rPr>
                <w:sz w:val="16"/>
                <w:szCs w:val="16"/>
              </w:rPr>
              <w:t>Independent Auditor’s Report</w:t>
            </w:r>
          </w:p>
        </w:tc>
        <w:tc>
          <w:tcPr>
            <w:tcW w:w="2268" w:type="dxa"/>
            <w:tcBorders>
              <w:top w:val="single" w:sz="4" w:space="0" w:color="auto"/>
              <w:left w:val="single" w:sz="4" w:space="0" w:color="auto"/>
              <w:bottom w:val="single" w:sz="4" w:space="0" w:color="auto"/>
            </w:tcBorders>
            <w:shd w:val="clear" w:color="auto" w:fill="auto"/>
          </w:tcPr>
          <w:p w14:paraId="3B183A38" w14:textId="77777777" w:rsidR="00FA76A3" w:rsidRPr="00112138" w:rsidRDefault="00FA76A3" w:rsidP="00FA76A3">
            <w:pPr>
              <w:pStyle w:val="Text"/>
              <w:spacing w:before="100" w:after="100"/>
              <w:rPr>
                <w:sz w:val="16"/>
                <w:szCs w:val="16"/>
              </w:rPr>
            </w:pPr>
            <w:r w:rsidRPr="00D66B0B">
              <w:rPr>
                <w:i/>
                <w:sz w:val="16"/>
                <w:szCs w:val="16"/>
              </w:rPr>
              <w:t>Financial Accountability Act 2009</w:t>
            </w:r>
            <w:r>
              <w:rPr>
                <w:i/>
                <w:sz w:val="16"/>
                <w:szCs w:val="16"/>
              </w:rPr>
              <w:t xml:space="preserve"> </w:t>
            </w:r>
            <w:r w:rsidRPr="00112138">
              <w:rPr>
                <w:sz w:val="16"/>
                <w:szCs w:val="16"/>
              </w:rPr>
              <w:t>– section 62</w:t>
            </w:r>
          </w:p>
          <w:p w14:paraId="2B7E3D87" w14:textId="77777777" w:rsidR="00FA76A3" w:rsidRDefault="00FA76A3" w:rsidP="00FA76A3">
            <w:pPr>
              <w:pStyle w:val="Text"/>
              <w:spacing w:before="100" w:after="100"/>
              <w:rPr>
                <w:sz w:val="16"/>
                <w:szCs w:val="16"/>
              </w:rPr>
            </w:pPr>
            <w:r w:rsidRPr="00D66B0B">
              <w:rPr>
                <w:i/>
                <w:sz w:val="16"/>
                <w:szCs w:val="16"/>
              </w:rPr>
              <w:t>Financial and Performance Management Standard 2009</w:t>
            </w:r>
            <w:r>
              <w:rPr>
                <w:i/>
                <w:sz w:val="16"/>
                <w:szCs w:val="16"/>
              </w:rPr>
              <w:t xml:space="preserve"> </w:t>
            </w:r>
            <w:r>
              <w:rPr>
                <w:sz w:val="16"/>
                <w:szCs w:val="16"/>
              </w:rPr>
              <w:t xml:space="preserve">– section </w:t>
            </w:r>
            <w:r w:rsidRPr="00112138">
              <w:rPr>
                <w:sz w:val="16"/>
                <w:szCs w:val="16"/>
              </w:rPr>
              <w:t>50</w:t>
            </w:r>
          </w:p>
          <w:p w14:paraId="250B2CF3" w14:textId="77777777" w:rsidR="001974D5" w:rsidRPr="00112138" w:rsidRDefault="001974D5" w:rsidP="001974D5">
            <w:pPr>
              <w:pStyle w:val="Text"/>
              <w:spacing w:before="100" w:after="100"/>
              <w:rPr>
                <w:sz w:val="16"/>
                <w:szCs w:val="16"/>
              </w:rPr>
            </w:pPr>
            <w:r>
              <w:rPr>
                <w:sz w:val="16"/>
                <w:szCs w:val="16"/>
              </w:rPr>
              <w:t>ARRs – section 17.2</w:t>
            </w:r>
          </w:p>
        </w:tc>
        <w:tc>
          <w:tcPr>
            <w:tcW w:w="1654" w:type="dxa"/>
            <w:tcBorders>
              <w:top w:val="single" w:sz="4" w:space="0" w:color="auto"/>
              <w:left w:val="single" w:sz="4" w:space="0" w:color="auto"/>
              <w:bottom w:val="single" w:sz="4" w:space="0" w:color="auto"/>
            </w:tcBorders>
            <w:shd w:val="clear" w:color="auto" w:fill="auto"/>
          </w:tcPr>
          <w:p w14:paraId="38C83600" w14:textId="77777777" w:rsidR="001974D5" w:rsidRPr="00112138" w:rsidRDefault="00E30FE8" w:rsidP="001974D5">
            <w:pPr>
              <w:pStyle w:val="Text"/>
              <w:spacing w:before="100" w:after="100"/>
              <w:jc w:val="center"/>
              <w:rPr>
                <w:sz w:val="16"/>
                <w:szCs w:val="16"/>
              </w:rPr>
            </w:pPr>
            <w:r>
              <w:rPr>
                <w:sz w:val="16"/>
                <w:szCs w:val="16"/>
              </w:rPr>
              <w:t>52-54</w:t>
            </w:r>
          </w:p>
        </w:tc>
      </w:tr>
    </w:tbl>
    <w:p w14:paraId="07A53331" w14:textId="77777777" w:rsidR="00B321EB" w:rsidRDefault="00B321EB" w:rsidP="002C1C76">
      <w:pPr>
        <w:spacing w:line="360" w:lineRule="auto"/>
      </w:pPr>
    </w:p>
    <w:p w14:paraId="67A9A0F6" w14:textId="77777777" w:rsidR="00115C53" w:rsidRPr="002C1C76" w:rsidRDefault="00115C53" w:rsidP="002C1C76">
      <w:pPr>
        <w:spacing w:line="360" w:lineRule="auto"/>
        <w:rPr>
          <w:color w:val="000000"/>
          <w:kern w:val="0"/>
          <w:sz w:val="24"/>
          <w:szCs w:val="24"/>
          <w:lang w:eastAsia="en-US"/>
        </w:rPr>
      </w:pPr>
      <w:r w:rsidRPr="002C1C76">
        <w:br w:type="page"/>
      </w:r>
    </w:p>
    <w:p w14:paraId="7190E61D" w14:textId="77777777" w:rsidR="00AA4F42" w:rsidRDefault="00AA4F42" w:rsidP="009D6B00">
      <w:pPr>
        <w:pStyle w:val="Heading2"/>
      </w:pPr>
      <w:bookmarkStart w:id="129" w:name="_Toc524519431"/>
      <w:bookmarkEnd w:id="123"/>
      <w:bookmarkEnd w:id="124"/>
      <w:bookmarkEnd w:id="125"/>
      <w:bookmarkEnd w:id="126"/>
      <w:bookmarkEnd w:id="127"/>
      <w:r>
        <w:lastRenderedPageBreak/>
        <w:t>Contacts and key locations</w:t>
      </w:r>
      <w:bookmarkEnd w:id="129"/>
    </w:p>
    <w:p w14:paraId="5ED8E430" w14:textId="77777777" w:rsidR="000403AF" w:rsidRDefault="000403AF" w:rsidP="00AA4F42">
      <w:pPr>
        <w:rPr>
          <w:b/>
          <w:sz w:val="24"/>
          <w:szCs w:val="24"/>
        </w:rPr>
      </w:pPr>
    </w:p>
    <w:p w14:paraId="41B6F6CE" w14:textId="77777777" w:rsidR="00AA4F42" w:rsidRPr="001B645A" w:rsidRDefault="001B645A" w:rsidP="00AA4F42">
      <w:pPr>
        <w:rPr>
          <w:b/>
          <w:sz w:val="24"/>
          <w:szCs w:val="24"/>
        </w:rPr>
      </w:pPr>
      <w:r w:rsidRPr="001B645A">
        <w:rPr>
          <w:b/>
          <w:sz w:val="24"/>
          <w:szCs w:val="24"/>
        </w:rPr>
        <w:t>Head office</w:t>
      </w:r>
    </w:p>
    <w:p w14:paraId="23270FDC" w14:textId="77777777" w:rsidR="00AA4F42" w:rsidRDefault="001B645A" w:rsidP="00AA4F42">
      <w:r>
        <w:t>Level 26</w:t>
      </w:r>
    </w:p>
    <w:p w14:paraId="2C98284A" w14:textId="77777777" w:rsidR="001B645A" w:rsidRDefault="001B645A" w:rsidP="00AA4F42">
      <w:r>
        <w:t xml:space="preserve">111 George Street </w:t>
      </w:r>
    </w:p>
    <w:p w14:paraId="644E6FA7" w14:textId="77777777" w:rsidR="001B645A" w:rsidRDefault="001B645A" w:rsidP="00AA4F42">
      <w:r>
        <w:t>Brisbane  Qld  4000</w:t>
      </w:r>
    </w:p>
    <w:p w14:paraId="301E5287" w14:textId="77777777" w:rsidR="00AA4F42" w:rsidRDefault="00AA4F42" w:rsidP="00AA4F42"/>
    <w:p w14:paraId="1650DE5C" w14:textId="77777777" w:rsidR="001B645A" w:rsidRPr="001B645A" w:rsidRDefault="001B645A" w:rsidP="00AA4F42">
      <w:pPr>
        <w:rPr>
          <w:b/>
          <w:sz w:val="24"/>
          <w:szCs w:val="24"/>
        </w:rPr>
      </w:pPr>
      <w:r w:rsidRPr="001B645A">
        <w:rPr>
          <w:b/>
          <w:sz w:val="24"/>
          <w:szCs w:val="24"/>
        </w:rPr>
        <w:t>Mailing address</w:t>
      </w:r>
    </w:p>
    <w:p w14:paraId="376F36AE" w14:textId="77777777" w:rsidR="001B645A" w:rsidRDefault="001B645A" w:rsidP="00AA4F42">
      <w:r>
        <w:t>GPO Box 1425</w:t>
      </w:r>
    </w:p>
    <w:p w14:paraId="40918116" w14:textId="77777777" w:rsidR="001B645A" w:rsidRDefault="001B645A" w:rsidP="00AA4F42">
      <w:r>
        <w:t>Mail Cluster 15.7</w:t>
      </w:r>
    </w:p>
    <w:p w14:paraId="2911F499" w14:textId="77777777" w:rsidR="001B645A" w:rsidRDefault="001B645A" w:rsidP="00AA4F42">
      <w:r>
        <w:t>Brisbane  Qld  4001</w:t>
      </w:r>
    </w:p>
    <w:p w14:paraId="30E14FA0" w14:textId="77777777" w:rsidR="001B645A" w:rsidRDefault="001B645A" w:rsidP="00AA4F42"/>
    <w:p w14:paraId="4EB86FE3" w14:textId="77777777" w:rsidR="001B645A" w:rsidRPr="001B645A" w:rsidRDefault="001B645A" w:rsidP="00AA4F42">
      <w:pPr>
        <w:rPr>
          <w:b/>
          <w:sz w:val="24"/>
          <w:szCs w:val="24"/>
        </w:rPr>
      </w:pPr>
      <w:r w:rsidRPr="001B645A">
        <w:rPr>
          <w:b/>
          <w:sz w:val="24"/>
          <w:szCs w:val="24"/>
        </w:rPr>
        <w:t>Telephone</w:t>
      </w:r>
    </w:p>
    <w:p w14:paraId="14A92B3D" w14:textId="77777777" w:rsidR="001B645A" w:rsidRDefault="001B645A" w:rsidP="00AA4F42">
      <w:r>
        <w:t>(07) 3029 8813</w:t>
      </w:r>
    </w:p>
    <w:p w14:paraId="38EC797C" w14:textId="77777777" w:rsidR="00AA4F42" w:rsidRPr="00AA4F42" w:rsidRDefault="00AA4F42" w:rsidP="00AA4F42"/>
    <w:p w14:paraId="62FD57F8" w14:textId="77777777" w:rsidR="008B06E5" w:rsidRDefault="008B06E5" w:rsidP="007621B8">
      <w:pPr>
        <w:rPr>
          <w:rFonts w:eastAsia="Calibri"/>
          <w:szCs w:val="22"/>
        </w:rPr>
        <w:sectPr w:rsidR="008B06E5" w:rsidSect="00F5629C">
          <w:pgSz w:w="11906" w:h="16838" w:code="9"/>
          <w:pgMar w:top="720" w:right="964" w:bottom="720" w:left="1134" w:header="567" w:footer="567" w:gutter="0"/>
          <w:cols w:space="720"/>
          <w:docGrid w:linePitch="360"/>
        </w:sectPr>
      </w:pPr>
    </w:p>
    <w:p w14:paraId="2C24C1B3" w14:textId="77777777" w:rsidR="007621B8" w:rsidRPr="00341581" w:rsidRDefault="00D4727A" w:rsidP="00853316">
      <w:pPr>
        <w:ind w:left="-1134"/>
        <w:rPr>
          <w:rFonts w:eastAsia="Calibri"/>
          <w:szCs w:val="22"/>
        </w:rPr>
      </w:pPr>
      <w:r>
        <w:rPr>
          <w:rFonts w:eastAsia="Calibri"/>
          <w:noProof/>
          <w:szCs w:val="22"/>
          <w:lang w:eastAsia="en-AU"/>
        </w:rPr>
        <w:lastRenderedPageBreak/>
        <w:drawing>
          <wp:inline distT="0" distB="0" distL="0" distR="0" wp14:anchorId="74F3AC4D" wp14:editId="4325FFA8">
            <wp:extent cx="6758900" cy="9548446"/>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758900" cy="9548446"/>
                    </a:xfrm>
                    <a:prstGeom prst="rect">
                      <a:avLst/>
                    </a:prstGeom>
                    <a:noFill/>
                    <a:ln>
                      <a:noFill/>
                    </a:ln>
                  </pic:spPr>
                </pic:pic>
              </a:graphicData>
            </a:graphic>
          </wp:inline>
        </w:drawing>
      </w:r>
    </w:p>
    <w:sectPr w:rsidR="007621B8" w:rsidRPr="00341581" w:rsidSect="00F5629C">
      <w:headerReference w:type="even" r:id="rId74"/>
      <w:headerReference w:type="default" r:id="rId75"/>
      <w:footerReference w:type="default" r:id="rId76"/>
      <w:headerReference w:type="first" r:id="rId77"/>
      <w:pgSz w:w="11906" w:h="16838" w:code="9"/>
      <w:pgMar w:top="720" w:right="964" w:bottom="720" w:left="1134" w:header="0" w:footer="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1FF8DB" w14:textId="77777777" w:rsidR="00153C30" w:rsidRDefault="00153C30">
      <w:pPr>
        <w:spacing w:after="0"/>
      </w:pPr>
      <w:r>
        <w:separator/>
      </w:r>
    </w:p>
  </w:endnote>
  <w:endnote w:type="continuationSeparator" w:id="0">
    <w:p w14:paraId="63E22ABE" w14:textId="77777777" w:rsidR="00153C30" w:rsidRDefault="00153C30">
      <w:pPr>
        <w:spacing w:after="0"/>
      </w:pPr>
      <w:r>
        <w:continuationSeparator/>
      </w:r>
    </w:p>
  </w:endnote>
  <w:endnote w:type="continuationNotice" w:id="1">
    <w:p w14:paraId="5805A78A" w14:textId="77777777" w:rsidR="00153C30" w:rsidRDefault="00153C3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ヒラギノ角ゴ Pro W3">
    <w:altName w:val="MS Gothic"/>
    <w:charset w:val="80"/>
    <w:family w:val="auto"/>
    <w:pitch w:val="variable"/>
    <w:sig w:usb0="00000000" w:usb1="00000000" w:usb2="07040407" w:usb3="00000000" w:csb0="00020000" w:csb1="00000000"/>
  </w:font>
  <w:font w:name="Arial Bold">
    <w:altName w:val="Arial"/>
    <w:panose1 w:val="020B07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721F4B" w14:textId="332395B4" w:rsidR="00153C30" w:rsidRPr="000D0DD5" w:rsidRDefault="00153C30" w:rsidP="000D0DD5">
    <w:pPr>
      <w:pStyle w:val="Footer"/>
      <w:pBdr>
        <w:top w:val="none" w:sz="0" w:space="0" w:color="auto"/>
        <w:left w:val="none" w:sz="0" w:space="0" w:color="auto"/>
      </w:pBdr>
      <w:tabs>
        <w:tab w:val="left" w:pos="4785"/>
        <w:tab w:val="center" w:pos="4904"/>
      </w:tabs>
      <w:rPr>
        <w:sz w:val="18"/>
        <w:szCs w:val="18"/>
      </w:rPr>
    </w:pPr>
    <w:r>
      <w:tab/>
    </w:r>
    <w:r>
      <w:tab/>
    </w:r>
    <w:r w:rsidRPr="000D0DD5">
      <w:rPr>
        <w:sz w:val="18"/>
        <w:szCs w:val="18"/>
      </w:rPr>
      <w:fldChar w:fldCharType="begin"/>
    </w:r>
    <w:r w:rsidRPr="000D0DD5">
      <w:rPr>
        <w:sz w:val="18"/>
        <w:szCs w:val="18"/>
      </w:rPr>
      <w:instrText xml:space="preserve"> PAGE   \* MERGEFORMAT </w:instrText>
    </w:r>
    <w:r w:rsidRPr="000D0DD5">
      <w:rPr>
        <w:sz w:val="18"/>
        <w:szCs w:val="18"/>
      </w:rPr>
      <w:fldChar w:fldCharType="separate"/>
    </w:r>
    <w:r w:rsidR="00E140C6">
      <w:rPr>
        <w:noProof/>
        <w:sz w:val="18"/>
        <w:szCs w:val="18"/>
      </w:rPr>
      <w:t>ii</w:t>
    </w:r>
    <w:r w:rsidRPr="000D0DD5">
      <w:rPr>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0A4FE9" w14:textId="77777777" w:rsidR="00153C30" w:rsidRDefault="00153C30" w:rsidP="00831B88">
    <w:pPr>
      <w:pStyle w:val="Footer"/>
      <w:pBdr>
        <w:top w:val="none" w:sz="0" w:space="0" w:color="auto"/>
        <w:left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5039249"/>
      <w:docPartObj>
        <w:docPartGallery w:val="Page Numbers (Bottom of Page)"/>
        <w:docPartUnique/>
      </w:docPartObj>
    </w:sdtPr>
    <w:sdtEndPr>
      <w:rPr>
        <w:noProof/>
      </w:rPr>
    </w:sdtEndPr>
    <w:sdtContent>
      <w:p w14:paraId="43709383" w14:textId="77777777" w:rsidR="00153C30" w:rsidRDefault="00153C30">
        <w:pPr>
          <w:pStyle w:val="Footer"/>
          <w:jc w:val="center"/>
        </w:pPr>
        <w:r>
          <w:fldChar w:fldCharType="begin"/>
        </w:r>
        <w:r>
          <w:instrText xml:space="preserve"> PAGE   \* MERGEFORMAT </w:instrText>
        </w:r>
        <w:r>
          <w:fldChar w:fldCharType="separate"/>
        </w:r>
        <w:r>
          <w:rPr>
            <w:noProof/>
          </w:rPr>
          <w:t>i</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A0D949" w14:textId="5BB13F39" w:rsidR="00153C30" w:rsidRPr="000D0DD5" w:rsidRDefault="00153C30" w:rsidP="00DB4559">
    <w:pPr>
      <w:pStyle w:val="Footer"/>
      <w:pBdr>
        <w:top w:val="none" w:sz="0" w:space="0" w:color="auto"/>
        <w:left w:val="none" w:sz="0" w:space="0" w:color="auto"/>
      </w:pBdr>
      <w:jc w:val="center"/>
      <w:rPr>
        <w:sz w:val="18"/>
        <w:szCs w:val="18"/>
      </w:rPr>
    </w:pPr>
    <w:r w:rsidRPr="00FB49AA">
      <w:rPr>
        <w:noProof/>
        <w:sz w:val="18"/>
        <w:szCs w:val="18"/>
      </w:rPr>
      <w:fldChar w:fldCharType="begin"/>
    </w:r>
    <w:r w:rsidRPr="00FB49AA">
      <w:rPr>
        <w:noProof/>
        <w:sz w:val="18"/>
        <w:szCs w:val="18"/>
      </w:rPr>
      <w:instrText xml:space="preserve"> PAGE   \* MERGEFORMAT </w:instrText>
    </w:r>
    <w:r w:rsidRPr="00FB49AA">
      <w:rPr>
        <w:noProof/>
        <w:sz w:val="18"/>
        <w:szCs w:val="18"/>
      </w:rPr>
      <w:fldChar w:fldCharType="separate"/>
    </w:r>
    <w:r w:rsidR="00E140C6">
      <w:rPr>
        <w:noProof/>
        <w:sz w:val="18"/>
        <w:szCs w:val="18"/>
      </w:rPr>
      <w:t>23</w:t>
    </w:r>
    <w:r w:rsidRPr="00FB49AA">
      <w:rPr>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3E45CD" w14:textId="77777777" w:rsidR="00153C30" w:rsidRPr="00DB4559" w:rsidRDefault="00153C30" w:rsidP="00DB4559">
    <w:pPr>
      <w:pStyle w:val="Footer"/>
      <w:pBdr>
        <w:top w:val="none" w:sz="0" w:space="0" w:color="auto"/>
        <w:left w:val="none" w:sz="0" w:space="0" w:color="auto"/>
      </w:pBd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E1E533" w14:textId="77777777" w:rsidR="00153C30" w:rsidRDefault="00153C30">
      <w:pPr>
        <w:spacing w:after="0"/>
      </w:pPr>
      <w:r>
        <w:separator/>
      </w:r>
    </w:p>
  </w:footnote>
  <w:footnote w:type="continuationSeparator" w:id="0">
    <w:p w14:paraId="0F43460F" w14:textId="77777777" w:rsidR="00153C30" w:rsidRDefault="00153C30">
      <w:pPr>
        <w:spacing w:after="0"/>
      </w:pPr>
      <w:r>
        <w:continuationSeparator/>
      </w:r>
    </w:p>
  </w:footnote>
  <w:footnote w:type="continuationNotice" w:id="1">
    <w:p w14:paraId="08F5EB2B" w14:textId="77777777" w:rsidR="00153C30" w:rsidRDefault="00153C30">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0D9F1F" w14:textId="77777777" w:rsidR="00153C30" w:rsidRPr="003B3B4A" w:rsidRDefault="00153C30" w:rsidP="00F338E8">
    <w:pPr>
      <w:pStyle w:val="Header"/>
      <w:jc w:val="right"/>
      <w:rPr>
        <w:sz w:val="18"/>
        <w:szCs w:val="18"/>
      </w:rPr>
    </w:pPr>
    <w:r w:rsidRPr="001902A4">
      <w:t>201</w:t>
    </w:r>
    <w:r>
      <w:t>5</w:t>
    </w:r>
    <w:r w:rsidRPr="001902A4">
      <w:t>–1</w:t>
    </w:r>
    <w:r>
      <w:t>6</w:t>
    </w:r>
    <w:r w:rsidRPr="001902A4">
      <w:t xml:space="preserve"> Annual Report</w:t>
    </w:r>
  </w:p>
  <w:p w14:paraId="639E597A" w14:textId="77777777" w:rsidR="00153C30" w:rsidRPr="003B3B4A" w:rsidRDefault="00153C30" w:rsidP="00F338E8">
    <w:pPr>
      <w:pStyle w:val="Header"/>
      <w:jc w:val="right"/>
      <w:rPr>
        <w:sz w:val="18"/>
        <w:szCs w:val="18"/>
      </w:rPr>
    </w:pPr>
  </w:p>
  <w:p w14:paraId="4CDB88C4" w14:textId="77777777" w:rsidR="00153C30" w:rsidRPr="003B3B4A" w:rsidRDefault="00153C30" w:rsidP="00F338E8">
    <w:pPr>
      <w:pStyle w:val="Header"/>
      <w:jc w:val="right"/>
      <w:rPr>
        <w:sz w:val="18"/>
        <w:szCs w:val="18"/>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AA159D" w14:textId="77777777" w:rsidR="00153C30" w:rsidRDefault="00153C3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9F5551" w14:textId="77777777" w:rsidR="00153C30" w:rsidRPr="008B06E5" w:rsidRDefault="00153C30" w:rsidP="008B06E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4C28F" w14:textId="77777777" w:rsidR="00153C30" w:rsidRDefault="00153C3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589560" w14:textId="77777777" w:rsidR="00153C30" w:rsidRPr="00EA07C1" w:rsidRDefault="00153C30" w:rsidP="00F338E8">
    <w:pPr>
      <w:pStyle w:val="Header"/>
      <w:jc w:val="right"/>
      <w:rPr>
        <w:sz w:val="18"/>
      </w:rPr>
    </w:pPr>
    <w:r w:rsidRPr="00EA07C1">
      <w:rPr>
        <w:sz w:val="18"/>
      </w:rPr>
      <w:t>2015–16 Annual Report</w:t>
    </w:r>
  </w:p>
  <w:p w14:paraId="7567370C" w14:textId="77777777" w:rsidR="00153C30" w:rsidRDefault="00153C30" w:rsidP="00F338E8">
    <w:pPr>
      <w:pStyle w:val="Header"/>
      <w:jc w:val="right"/>
      <w:rPr>
        <w:sz w:val="18"/>
      </w:rPr>
    </w:pPr>
    <w:r w:rsidRPr="00313CF1">
      <w:rPr>
        <w:sz w:val="18"/>
        <w:highlight w:val="yellow"/>
      </w:rPr>
      <w:t>&lt;Agency name&gt;</w:t>
    </w:r>
  </w:p>
  <w:p w14:paraId="13B7C9E3" w14:textId="77777777" w:rsidR="00153C30" w:rsidRPr="00EA07C1" w:rsidRDefault="00153C30" w:rsidP="00F338E8">
    <w:pPr>
      <w:pStyle w:val="Header"/>
      <w:jc w:val="right"/>
      <w:rPr>
        <w:sz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BE01B" w14:textId="77777777" w:rsidR="00153C30" w:rsidRPr="006E3705" w:rsidRDefault="00153C30" w:rsidP="006E3705">
    <w:pPr>
      <w:pStyle w:val="Header"/>
      <w:ind w:left="-238" w:right="-194"/>
      <w:jc w:val="right"/>
    </w:pPr>
    <w:r>
      <w:rPr>
        <w:noProof/>
        <w:lang w:eastAsia="en-AU"/>
      </w:rPr>
      <mc:AlternateContent>
        <mc:Choice Requires="wps">
          <w:drawing>
            <wp:anchor distT="0" distB="0" distL="114300" distR="114300" simplePos="0" relativeHeight="251658240" behindDoc="0" locked="0" layoutInCell="1" allowOverlap="1" wp14:anchorId="14189B18" wp14:editId="0F02A4CA">
              <wp:simplePos x="0" y="0"/>
              <wp:positionH relativeFrom="column">
                <wp:posOffset>5590451</wp:posOffset>
              </wp:positionH>
              <wp:positionV relativeFrom="paragraph">
                <wp:posOffset>10633</wp:posOffset>
              </wp:positionV>
              <wp:extent cx="2891790" cy="1095153"/>
              <wp:effectExtent l="0" t="0" r="0" b="0"/>
              <wp:wrapNone/>
              <wp:docPr id="226" name="Text Box 226"/>
              <wp:cNvGraphicFramePr/>
              <a:graphic xmlns:a="http://schemas.openxmlformats.org/drawingml/2006/main">
                <a:graphicData uri="http://schemas.microsoft.com/office/word/2010/wordprocessingShape">
                  <wps:wsp>
                    <wps:cNvSpPr txBox="1"/>
                    <wps:spPr>
                      <a:xfrm>
                        <a:off x="0" y="0"/>
                        <a:ext cx="2891790" cy="1095153"/>
                      </a:xfrm>
                      <a:prstGeom prst="rect">
                        <a:avLst/>
                      </a:prstGeom>
                      <a:noFill/>
                      <a:ln>
                        <a:noFill/>
                      </a:ln>
                      <a:effectLst/>
                    </wps:spPr>
                    <wps:txbx>
                      <w:txbxContent>
                        <w:p w14:paraId="0FCEF451" w14:textId="77777777" w:rsidR="00153C30" w:rsidRPr="008A753C" w:rsidRDefault="00153C30">
                          <w:pPr>
                            <w:rPr>
                              <w:sz w:val="2"/>
                            </w:rPr>
                          </w:pPr>
                          <w:r w:rsidRPr="008A753C">
                            <w:rPr>
                              <w:b/>
                              <w:color w:val="FDB5BA" w:themeColor="accent3"/>
                              <w:spacing w:val="40"/>
                              <w:sz w:val="16"/>
                              <w:szCs w:val="7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4189B18" id="_x0000_t202" coordsize="21600,21600" o:spt="202" path="m,l,21600r21600,l21600,xe">
              <v:stroke joinstyle="miter"/>
              <v:path gradientshapeok="t" o:connecttype="rect"/>
            </v:shapetype>
            <v:shape id="Text Box 226" o:spid="_x0000_s1027" type="#_x0000_t202" style="position:absolute;left:0;text-align:left;margin-left:440.2pt;margin-top:.85pt;width:227.7pt;height:86.25pt;z-index:251658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" filled="f" stroked="f">
              <v:textbox>
                <w:txbxContent>
                  <w:p w14:paraId="0FCEF451" w14:textId="77777777" w:rsidR="00153C30" w:rsidRPr="008A753C" w:rsidRDefault="00153C30">
                    <w:pPr>
                      <w:rPr>
                        <w:sz w:val="2"/>
                      </w:rPr>
                    </w:pPr>
                    <w:r w:rsidRPr="008A753C">
                      <w:rPr>
                        <w:b/>
                        <w:color w:val="FDB5BA" w:themeColor="accent3"/>
                        <w:spacing w:val="40"/>
                        <w:sz w:val="16"/>
                        <w:szCs w:val="72"/>
                        <w14:shadow w14:blurRad="50800" w14:dist="50800" w14:dir="8100000" w14:sx="0" w14:sy="0" w14:kx="0" w14:ky="0" w14:algn="none">
                          <w14:srgbClr w14:val="7D7D7D">
                            <w14:alpha w14:val="27000"/>
                          </w14:srgbClr>
                        </w14:shadow>
                        <w14:textOutline w14:w="14604" w14:cap="flat" w14:cmpd="sng" w14:algn="ctr">
                          <w14:solidFill>
                            <w14:schemeClr w14:val="accent3">
                              <w14:tint w14:val="10000"/>
                            </w14:schemeClr>
                          </w14:solidFill>
                          <w14:prstDash w14:val="solid"/>
                          <w14:round/>
                        </w14:textOutline>
                        <w14:textFill>
                          <w14:solidFill>
                            <w14:schemeClr w14:val="accent3">
                              <w14:alpha w14:val="50000"/>
                              <w14:satMod w14:val="200000"/>
                            </w14:schemeClr>
                          </w14:solidFill>
                        </w14:textFill>
                      </w:rPr>
                      <w:t>/</w:t>
                    </w: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6FF391" w14:textId="77777777" w:rsidR="00153C30" w:rsidRDefault="00153C3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E1350A" w14:textId="77777777" w:rsidR="00153C30" w:rsidRDefault="00153C30" w:rsidP="000533A2">
    <w:pPr>
      <w:pStyle w:val="Header"/>
      <w:tabs>
        <w:tab w:val="left" w:pos="6690"/>
        <w:tab w:val="right" w:pos="10142"/>
      </w:tabs>
      <w:jc w:val="right"/>
      <w:rPr>
        <w:sz w:val="18"/>
      </w:rPr>
    </w:pPr>
    <w:r>
      <w:rPr>
        <w:sz w:val="18"/>
      </w:rPr>
      <w:t>2</w:t>
    </w:r>
    <w:r w:rsidRPr="00B34B8E">
      <w:rPr>
        <w:sz w:val="18"/>
      </w:rPr>
      <w:t>01</w:t>
    </w:r>
    <w:r>
      <w:rPr>
        <w:sz w:val="18"/>
      </w:rPr>
      <w:t xml:space="preserve">7-18 </w:t>
    </w:r>
    <w:r w:rsidRPr="00B34B8E">
      <w:rPr>
        <w:sz w:val="18"/>
      </w:rPr>
      <w:t>Annual Report</w:t>
    </w:r>
  </w:p>
  <w:p w14:paraId="2FBCA603" w14:textId="77777777" w:rsidR="00153C30" w:rsidRDefault="00153C30" w:rsidP="00517B3C">
    <w:pPr>
      <w:pStyle w:val="Header"/>
      <w:tabs>
        <w:tab w:val="left" w:pos="6690"/>
        <w:tab w:val="right" w:pos="10142"/>
      </w:tabs>
      <w:jc w:val="right"/>
      <w:rPr>
        <w:sz w:val="18"/>
      </w:rPr>
    </w:pPr>
    <w:r>
      <w:rPr>
        <w:sz w:val="18"/>
      </w:rPr>
      <w:t>Office of the Inspector-General Emergency Management</w:t>
    </w:r>
  </w:p>
  <w:p w14:paraId="733991B6" w14:textId="77777777" w:rsidR="00153C30" w:rsidRPr="00517B3C" w:rsidRDefault="00153C30" w:rsidP="00517B3C">
    <w:pPr>
      <w:pStyle w:val="Header"/>
      <w:tabs>
        <w:tab w:val="left" w:pos="6690"/>
        <w:tab w:val="right" w:pos="10142"/>
      </w:tabs>
      <w:jc w:val="right"/>
      <w:rPr>
        <w:sz w:val="1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2E0744" w14:textId="77777777" w:rsidR="00153C30" w:rsidRDefault="00153C3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140A4C" w14:textId="77777777" w:rsidR="00153C30" w:rsidRDefault="00153C3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10A168" w14:textId="77777777" w:rsidR="00153C30" w:rsidRDefault="00153C30" w:rsidP="000533A2">
    <w:pPr>
      <w:pStyle w:val="Header"/>
      <w:tabs>
        <w:tab w:val="left" w:pos="6690"/>
        <w:tab w:val="right" w:pos="10142"/>
      </w:tabs>
      <w:jc w:val="right"/>
      <w:rPr>
        <w:sz w:val="18"/>
      </w:rPr>
    </w:pPr>
    <w:r>
      <w:rPr>
        <w:sz w:val="18"/>
      </w:rPr>
      <w:t>2017-18</w:t>
    </w:r>
    <w:r w:rsidRPr="00B34B8E">
      <w:rPr>
        <w:sz w:val="18"/>
      </w:rPr>
      <w:t xml:space="preserve"> Annual Report</w:t>
    </w:r>
  </w:p>
  <w:p w14:paraId="610D0C9D" w14:textId="77777777" w:rsidR="00153C30" w:rsidRDefault="00153C30" w:rsidP="00E72958">
    <w:pPr>
      <w:pStyle w:val="Header"/>
      <w:tabs>
        <w:tab w:val="left" w:pos="6690"/>
        <w:tab w:val="right" w:pos="10142"/>
      </w:tabs>
      <w:jc w:val="right"/>
      <w:rPr>
        <w:sz w:val="18"/>
      </w:rPr>
    </w:pPr>
    <w:r>
      <w:rPr>
        <w:sz w:val="18"/>
      </w:rPr>
      <w:t>Office of the Inspector-General</w:t>
    </w:r>
    <w:r w:rsidRPr="000532A5">
      <w:rPr>
        <w:sz w:val="18"/>
      </w:rPr>
      <w:t xml:space="preserve"> Emergency Management</w:t>
    </w:r>
  </w:p>
  <w:p w14:paraId="4CA9CA36" w14:textId="77777777" w:rsidR="00153C30" w:rsidRPr="00517B3C" w:rsidRDefault="00153C30" w:rsidP="00E72958">
    <w:pPr>
      <w:pStyle w:val="Header"/>
      <w:tabs>
        <w:tab w:val="left" w:pos="6690"/>
        <w:tab w:val="right" w:pos="10142"/>
      </w:tabs>
      <w:jc w:val="center"/>
      <w:rPr>
        <w:sz w:val="1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BB6141" w14:textId="77777777" w:rsidR="00153C30" w:rsidRDefault="00153C3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B6E8615A"/>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1"/>
    <w:multiLevelType w:val="singleLevel"/>
    <w:tmpl w:val="7F8230A0"/>
    <w:lvl w:ilvl="0">
      <w:start w:val="1"/>
      <w:numFmt w:val="bullet"/>
      <w:pStyle w:val="ListBullet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4CF4A9A6"/>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1F86DD2C"/>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9"/>
    <w:multiLevelType w:val="singleLevel"/>
    <w:tmpl w:val="E63AF57E"/>
    <w:lvl w:ilvl="0">
      <w:start w:val="1"/>
      <w:numFmt w:val="bullet"/>
      <w:pStyle w:val="ListBullet"/>
      <w:lvlText w:val="•"/>
      <w:lvlJc w:val="left"/>
      <w:pPr>
        <w:ind w:left="360" w:hanging="360"/>
      </w:pPr>
      <w:rPr>
        <w:rFonts w:ascii="Cambria" w:hAnsi="Cambria" w:hint="default"/>
        <w:color w:val="000000" w:themeColor="accent1"/>
      </w:rPr>
    </w:lvl>
  </w:abstractNum>
  <w:abstractNum w:abstractNumId="5" w15:restartNumberingAfterBreak="0">
    <w:nsid w:val="00544AEE"/>
    <w:multiLevelType w:val="hybridMultilevel"/>
    <w:tmpl w:val="951E248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1F07A55"/>
    <w:multiLevelType w:val="hybridMultilevel"/>
    <w:tmpl w:val="D8A618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02C437E9"/>
    <w:multiLevelType w:val="hybridMultilevel"/>
    <w:tmpl w:val="5EB0F43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8" w15:restartNumberingAfterBreak="0">
    <w:nsid w:val="041C44F6"/>
    <w:multiLevelType w:val="hybridMultilevel"/>
    <w:tmpl w:val="C5DC0C56"/>
    <w:lvl w:ilvl="0" w:tplc="0C090003">
      <w:start w:val="1"/>
      <w:numFmt w:val="bullet"/>
      <w:lvlText w:val="o"/>
      <w:lvlJc w:val="left"/>
      <w:pPr>
        <w:ind w:left="1052" w:hanging="361"/>
      </w:pPr>
      <w:rPr>
        <w:rFonts w:ascii="Courier New" w:hAnsi="Courier New" w:cs="Courier New" w:hint="default"/>
        <w:w w:val="100"/>
        <w:sz w:val="22"/>
        <w:szCs w:val="22"/>
      </w:rPr>
    </w:lvl>
    <w:lvl w:ilvl="1" w:tplc="0C090003" w:tentative="1">
      <w:start w:val="1"/>
      <w:numFmt w:val="bullet"/>
      <w:lvlText w:val="o"/>
      <w:lvlJc w:val="left"/>
      <w:pPr>
        <w:ind w:left="2020" w:hanging="360"/>
      </w:pPr>
      <w:rPr>
        <w:rFonts w:ascii="Courier New" w:hAnsi="Courier New" w:cs="Courier New" w:hint="default"/>
      </w:rPr>
    </w:lvl>
    <w:lvl w:ilvl="2" w:tplc="0C090005" w:tentative="1">
      <w:start w:val="1"/>
      <w:numFmt w:val="bullet"/>
      <w:lvlText w:val=""/>
      <w:lvlJc w:val="left"/>
      <w:pPr>
        <w:ind w:left="2740" w:hanging="360"/>
      </w:pPr>
      <w:rPr>
        <w:rFonts w:ascii="Wingdings" w:hAnsi="Wingdings" w:hint="default"/>
      </w:rPr>
    </w:lvl>
    <w:lvl w:ilvl="3" w:tplc="0C090001" w:tentative="1">
      <w:start w:val="1"/>
      <w:numFmt w:val="bullet"/>
      <w:lvlText w:val=""/>
      <w:lvlJc w:val="left"/>
      <w:pPr>
        <w:ind w:left="3460" w:hanging="360"/>
      </w:pPr>
      <w:rPr>
        <w:rFonts w:ascii="Symbol" w:hAnsi="Symbol" w:hint="default"/>
      </w:rPr>
    </w:lvl>
    <w:lvl w:ilvl="4" w:tplc="0C090003" w:tentative="1">
      <w:start w:val="1"/>
      <w:numFmt w:val="bullet"/>
      <w:lvlText w:val="o"/>
      <w:lvlJc w:val="left"/>
      <w:pPr>
        <w:ind w:left="4180" w:hanging="360"/>
      </w:pPr>
      <w:rPr>
        <w:rFonts w:ascii="Courier New" w:hAnsi="Courier New" w:cs="Courier New" w:hint="default"/>
      </w:rPr>
    </w:lvl>
    <w:lvl w:ilvl="5" w:tplc="0C090005" w:tentative="1">
      <w:start w:val="1"/>
      <w:numFmt w:val="bullet"/>
      <w:lvlText w:val=""/>
      <w:lvlJc w:val="left"/>
      <w:pPr>
        <w:ind w:left="4900" w:hanging="360"/>
      </w:pPr>
      <w:rPr>
        <w:rFonts w:ascii="Wingdings" w:hAnsi="Wingdings" w:hint="default"/>
      </w:rPr>
    </w:lvl>
    <w:lvl w:ilvl="6" w:tplc="0C090001" w:tentative="1">
      <w:start w:val="1"/>
      <w:numFmt w:val="bullet"/>
      <w:lvlText w:val=""/>
      <w:lvlJc w:val="left"/>
      <w:pPr>
        <w:ind w:left="5620" w:hanging="360"/>
      </w:pPr>
      <w:rPr>
        <w:rFonts w:ascii="Symbol" w:hAnsi="Symbol" w:hint="default"/>
      </w:rPr>
    </w:lvl>
    <w:lvl w:ilvl="7" w:tplc="0C090003" w:tentative="1">
      <w:start w:val="1"/>
      <w:numFmt w:val="bullet"/>
      <w:lvlText w:val="o"/>
      <w:lvlJc w:val="left"/>
      <w:pPr>
        <w:ind w:left="6340" w:hanging="360"/>
      </w:pPr>
      <w:rPr>
        <w:rFonts w:ascii="Courier New" w:hAnsi="Courier New" w:cs="Courier New" w:hint="default"/>
      </w:rPr>
    </w:lvl>
    <w:lvl w:ilvl="8" w:tplc="0C090005" w:tentative="1">
      <w:start w:val="1"/>
      <w:numFmt w:val="bullet"/>
      <w:lvlText w:val=""/>
      <w:lvlJc w:val="left"/>
      <w:pPr>
        <w:ind w:left="7060" w:hanging="360"/>
      </w:pPr>
      <w:rPr>
        <w:rFonts w:ascii="Wingdings" w:hAnsi="Wingdings" w:hint="default"/>
      </w:rPr>
    </w:lvl>
  </w:abstractNum>
  <w:abstractNum w:abstractNumId="9" w15:restartNumberingAfterBreak="0">
    <w:nsid w:val="136D75DE"/>
    <w:multiLevelType w:val="hybridMultilevel"/>
    <w:tmpl w:val="09CE7B40"/>
    <w:lvl w:ilvl="0" w:tplc="B31CCE2A">
      <w:start w:val="1"/>
      <w:numFmt w:val="bullet"/>
      <w:lvlText w:val=""/>
      <w:lvlJc w:val="left"/>
      <w:pPr>
        <w:ind w:left="360" w:hanging="361"/>
      </w:pPr>
      <w:rPr>
        <w:rFonts w:ascii="Symbol" w:eastAsia="Symbol" w:hAnsi="Symbol" w:hint="default"/>
        <w:w w:val="99"/>
        <w:sz w:val="22"/>
        <w:szCs w:val="22"/>
      </w:rPr>
    </w:lvl>
    <w:lvl w:ilvl="1" w:tplc="ABE61B0E">
      <w:start w:val="1"/>
      <w:numFmt w:val="bullet"/>
      <w:lvlText w:val=""/>
      <w:lvlJc w:val="left"/>
      <w:pPr>
        <w:ind w:left="731" w:hanging="361"/>
      </w:pPr>
      <w:rPr>
        <w:rFonts w:ascii="Symbol" w:eastAsia="Symbol" w:hAnsi="Symbol" w:hint="default"/>
        <w:w w:val="99"/>
        <w:sz w:val="22"/>
        <w:szCs w:val="22"/>
      </w:rPr>
    </w:lvl>
    <w:lvl w:ilvl="2" w:tplc="561AA5A4">
      <w:start w:val="1"/>
      <w:numFmt w:val="bullet"/>
      <w:lvlText w:val="•"/>
      <w:lvlJc w:val="left"/>
      <w:pPr>
        <w:ind w:left="1769" w:hanging="361"/>
      </w:pPr>
    </w:lvl>
    <w:lvl w:ilvl="3" w:tplc="33B4D8B2">
      <w:start w:val="1"/>
      <w:numFmt w:val="bullet"/>
      <w:lvlText w:val="•"/>
      <w:lvlJc w:val="left"/>
      <w:pPr>
        <w:ind w:left="2809" w:hanging="361"/>
      </w:pPr>
    </w:lvl>
    <w:lvl w:ilvl="4" w:tplc="E6C24DF4">
      <w:start w:val="1"/>
      <w:numFmt w:val="bullet"/>
      <w:lvlText w:val="•"/>
      <w:lvlJc w:val="left"/>
      <w:pPr>
        <w:ind w:left="3850" w:hanging="361"/>
      </w:pPr>
    </w:lvl>
    <w:lvl w:ilvl="5" w:tplc="08145902">
      <w:start w:val="1"/>
      <w:numFmt w:val="bullet"/>
      <w:lvlText w:val="•"/>
      <w:lvlJc w:val="left"/>
      <w:pPr>
        <w:ind w:left="4890" w:hanging="361"/>
      </w:pPr>
    </w:lvl>
    <w:lvl w:ilvl="6" w:tplc="13B66E26">
      <w:start w:val="1"/>
      <w:numFmt w:val="bullet"/>
      <w:lvlText w:val="•"/>
      <w:lvlJc w:val="left"/>
      <w:pPr>
        <w:ind w:left="5931" w:hanging="361"/>
      </w:pPr>
    </w:lvl>
    <w:lvl w:ilvl="7" w:tplc="201AD4F4">
      <w:start w:val="1"/>
      <w:numFmt w:val="bullet"/>
      <w:lvlText w:val="•"/>
      <w:lvlJc w:val="left"/>
      <w:pPr>
        <w:ind w:left="6971" w:hanging="361"/>
      </w:pPr>
    </w:lvl>
    <w:lvl w:ilvl="8" w:tplc="4BDA3EBA">
      <w:start w:val="1"/>
      <w:numFmt w:val="bullet"/>
      <w:lvlText w:val="•"/>
      <w:lvlJc w:val="left"/>
      <w:pPr>
        <w:ind w:left="8012" w:hanging="361"/>
      </w:pPr>
    </w:lvl>
  </w:abstractNum>
  <w:abstractNum w:abstractNumId="10" w15:restartNumberingAfterBreak="0">
    <w:nsid w:val="1B6F205A"/>
    <w:multiLevelType w:val="multilevel"/>
    <w:tmpl w:val="9CA4ABB8"/>
    <w:styleLink w:val="AnnualReport"/>
    <w:lvl w:ilvl="0">
      <w:start w:val="1"/>
      <w:numFmt w:val="decimal"/>
      <w:lvlText w:val="%1."/>
      <w:lvlJc w:val="left"/>
      <w:pPr>
        <w:ind w:left="360" w:hanging="360"/>
      </w:pPr>
      <w:rPr>
        <w:rFonts w:hint="default"/>
      </w:rPr>
    </w:lvl>
    <w:lvl w:ilvl="1">
      <w:start w:val="1"/>
      <w:numFmt w:val="decimal"/>
      <w:suff w:val="space"/>
      <w:lvlText w:val="%1.%2"/>
      <w:lvlJc w:val="left"/>
      <w:pPr>
        <w:ind w:left="360" w:hanging="360"/>
      </w:pPr>
      <w:rPr>
        <w:rFonts w:hint="default"/>
      </w:rPr>
    </w:lvl>
    <w:lvl w:ilvl="2">
      <w:start w:val="1"/>
      <w:numFmt w:val="lowerLetter"/>
      <w:lvlText w:val="%3."/>
      <w:lvlJc w:val="left"/>
      <w:pPr>
        <w:ind w:left="720" w:hanging="360"/>
      </w:pPr>
      <w:rPr>
        <w:rFonts w:hint="default"/>
      </w:rPr>
    </w:lvl>
    <w:lvl w:ilvl="3">
      <w:start w:val="1"/>
      <w:numFmt w:val="lowerRoman"/>
      <w:lvlText w:val="%4."/>
      <w:lvlJc w:val="left"/>
      <w:pPr>
        <w:ind w:left="108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E1075B4"/>
    <w:multiLevelType w:val="hybridMultilevel"/>
    <w:tmpl w:val="B956C93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E961FA3"/>
    <w:multiLevelType w:val="hybridMultilevel"/>
    <w:tmpl w:val="D0781864"/>
    <w:lvl w:ilvl="0" w:tplc="484264F4">
      <w:start w:val="1"/>
      <w:numFmt w:val="bullet"/>
      <w:lvlText w:val=""/>
      <w:lvlJc w:val="left"/>
      <w:pPr>
        <w:ind w:left="360" w:hanging="360"/>
      </w:pPr>
      <w:rPr>
        <w:rFonts w:ascii="Symbol" w:eastAsia="Symbol" w:hAnsi="Symbol" w:hint="default"/>
        <w:w w:val="10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29183FAC"/>
    <w:multiLevelType w:val="hybridMultilevel"/>
    <w:tmpl w:val="B07E578E"/>
    <w:lvl w:ilvl="0" w:tplc="5EC05332">
      <w:numFmt w:val="bullet"/>
      <w:lvlText w:val="-"/>
      <w:lvlJc w:val="left"/>
      <w:pPr>
        <w:ind w:left="330" w:hanging="361"/>
      </w:pPr>
      <w:rPr>
        <w:rFonts w:ascii="Arial" w:eastAsiaTheme="minorHAnsi" w:hAnsi="Arial" w:cs="Arial" w:hint="default"/>
        <w:w w:val="100"/>
        <w:sz w:val="22"/>
        <w:szCs w:val="22"/>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4" w15:restartNumberingAfterBreak="0">
    <w:nsid w:val="2D2D54B0"/>
    <w:multiLevelType w:val="hybridMultilevel"/>
    <w:tmpl w:val="7918280A"/>
    <w:lvl w:ilvl="0" w:tplc="52B0B264">
      <w:start w:val="1"/>
      <w:numFmt w:val="bullet"/>
      <w:lvlText w:val=""/>
      <w:lvlJc w:val="left"/>
      <w:pPr>
        <w:ind w:left="360" w:hanging="360"/>
      </w:pPr>
      <w:rPr>
        <w:rFonts w:ascii="Symbol" w:eastAsia="Symbol" w:hAnsi="Symbol" w:hint="default"/>
        <w:w w:val="100"/>
        <w:sz w:val="18"/>
        <w:szCs w:val="18"/>
      </w:rPr>
    </w:lvl>
    <w:lvl w:ilvl="1" w:tplc="3D8A30A6">
      <w:start w:val="1"/>
      <w:numFmt w:val="bullet"/>
      <w:lvlText w:val="•"/>
      <w:lvlJc w:val="left"/>
      <w:pPr>
        <w:ind w:left="505" w:hanging="360"/>
      </w:pPr>
      <w:rPr>
        <w:rFonts w:hint="default"/>
      </w:rPr>
    </w:lvl>
    <w:lvl w:ilvl="2" w:tplc="D870DCDE">
      <w:start w:val="1"/>
      <w:numFmt w:val="bullet"/>
      <w:lvlText w:val="•"/>
      <w:lvlJc w:val="left"/>
      <w:pPr>
        <w:ind w:left="641" w:hanging="360"/>
      </w:pPr>
      <w:rPr>
        <w:rFonts w:hint="default"/>
      </w:rPr>
    </w:lvl>
    <w:lvl w:ilvl="3" w:tplc="D91A5EB4">
      <w:start w:val="1"/>
      <w:numFmt w:val="bullet"/>
      <w:lvlText w:val="•"/>
      <w:lvlJc w:val="left"/>
      <w:pPr>
        <w:ind w:left="776" w:hanging="360"/>
      </w:pPr>
      <w:rPr>
        <w:rFonts w:hint="default"/>
      </w:rPr>
    </w:lvl>
    <w:lvl w:ilvl="4" w:tplc="7B342198">
      <w:start w:val="1"/>
      <w:numFmt w:val="bullet"/>
      <w:lvlText w:val="•"/>
      <w:lvlJc w:val="left"/>
      <w:pPr>
        <w:ind w:left="912" w:hanging="360"/>
      </w:pPr>
      <w:rPr>
        <w:rFonts w:hint="default"/>
      </w:rPr>
    </w:lvl>
    <w:lvl w:ilvl="5" w:tplc="1B26E134">
      <w:start w:val="1"/>
      <w:numFmt w:val="bullet"/>
      <w:lvlText w:val="•"/>
      <w:lvlJc w:val="left"/>
      <w:pPr>
        <w:ind w:left="1047" w:hanging="360"/>
      </w:pPr>
      <w:rPr>
        <w:rFonts w:hint="default"/>
      </w:rPr>
    </w:lvl>
    <w:lvl w:ilvl="6" w:tplc="334AFEFA">
      <w:start w:val="1"/>
      <w:numFmt w:val="bullet"/>
      <w:lvlText w:val="•"/>
      <w:lvlJc w:val="left"/>
      <w:pPr>
        <w:ind w:left="1183" w:hanging="360"/>
      </w:pPr>
      <w:rPr>
        <w:rFonts w:hint="default"/>
      </w:rPr>
    </w:lvl>
    <w:lvl w:ilvl="7" w:tplc="7D2ED83A">
      <w:start w:val="1"/>
      <w:numFmt w:val="bullet"/>
      <w:lvlText w:val="•"/>
      <w:lvlJc w:val="left"/>
      <w:pPr>
        <w:ind w:left="1318" w:hanging="360"/>
      </w:pPr>
      <w:rPr>
        <w:rFonts w:hint="default"/>
      </w:rPr>
    </w:lvl>
    <w:lvl w:ilvl="8" w:tplc="B7604D74">
      <w:start w:val="1"/>
      <w:numFmt w:val="bullet"/>
      <w:lvlText w:val="•"/>
      <w:lvlJc w:val="left"/>
      <w:pPr>
        <w:ind w:left="1454" w:hanging="360"/>
      </w:pPr>
      <w:rPr>
        <w:rFonts w:hint="default"/>
      </w:rPr>
    </w:lvl>
  </w:abstractNum>
  <w:abstractNum w:abstractNumId="15" w15:restartNumberingAfterBreak="0">
    <w:nsid w:val="333F3B4C"/>
    <w:multiLevelType w:val="hybridMultilevel"/>
    <w:tmpl w:val="E12CF76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34212421"/>
    <w:multiLevelType w:val="hybridMultilevel"/>
    <w:tmpl w:val="7A242B3C"/>
    <w:lvl w:ilvl="0" w:tplc="5EC05332">
      <w:numFmt w:val="bullet"/>
      <w:lvlText w:val="-"/>
      <w:lvlJc w:val="left"/>
      <w:pPr>
        <w:ind w:left="360" w:hanging="360"/>
      </w:pPr>
      <w:rPr>
        <w:rFonts w:ascii="Arial" w:eastAsiaTheme="minorHAnsi" w:hAnsi="Arial" w:cs="Aria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367F6A45"/>
    <w:multiLevelType w:val="multilevel"/>
    <w:tmpl w:val="80C0D6D2"/>
    <w:lvl w:ilvl="0">
      <w:start w:val="1"/>
      <w:numFmt w:val="decimal"/>
      <w:pStyle w:val="ListNumber"/>
      <w:lvlText w:val="%1."/>
      <w:lvlJc w:val="left"/>
      <w:pPr>
        <w:ind w:left="360" w:hanging="360"/>
      </w:pPr>
      <w:rPr>
        <w:rFonts w:hint="default"/>
      </w:rPr>
    </w:lvl>
    <w:lvl w:ilvl="1">
      <w:start w:val="1"/>
      <w:numFmt w:val="decimal"/>
      <w:pStyle w:val="ListNumber2"/>
      <w:suff w:val="space"/>
      <w:lvlText w:val="%1.%2"/>
      <w:lvlJc w:val="left"/>
      <w:pPr>
        <w:ind w:left="936" w:hanging="576"/>
      </w:pPr>
      <w:rPr>
        <w:rFonts w:hint="default"/>
      </w:rPr>
    </w:lvl>
    <w:lvl w:ilvl="2">
      <w:start w:val="1"/>
      <w:numFmt w:val="lowerLetter"/>
      <w:pStyle w:val="ListNumber3"/>
      <w:lvlText w:val="%3."/>
      <w:lvlJc w:val="left"/>
      <w:pPr>
        <w:ind w:left="720" w:hanging="360"/>
      </w:pPr>
      <w:rPr>
        <w:rFonts w:hint="default"/>
      </w:rPr>
    </w:lvl>
    <w:lvl w:ilvl="3">
      <w:start w:val="1"/>
      <w:numFmt w:val="lowerRoman"/>
      <w:pStyle w:val="ListNumber4"/>
      <w:lvlText w:val="%4."/>
      <w:lvlJc w:val="left"/>
      <w:pPr>
        <w:ind w:left="108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6FF02A1"/>
    <w:multiLevelType w:val="hybridMultilevel"/>
    <w:tmpl w:val="2F286FA4"/>
    <w:lvl w:ilvl="0" w:tplc="DB921C78">
      <w:start w:val="1"/>
      <w:numFmt w:val="bullet"/>
      <w:lvlText w:val="-"/>
      <w:lvlJc w:val="left"/>
      <w:pPr>
        <w:tabs>
          <w:tab w:val="num" w:pos="1495"/>
        </w:tabs>
        <w:ind w:left="1495" w:hanging="360"/>
      </w:pPr>
      <w:rPr>
        <w:rFonts w:ascii="Courier New" w:hAnsi="Courier New" w:hint="default"/>
        <w:strike w:val="0"/>
        <w:color w:val="000000"/>
      </w:rPr>
    </w:lvl>
    <w:lvl w:ilvl="1" w:tplc="E10E8E2A">
      <w:start w:val="1"/>
      <w:numFmt w:val="bullet"/>
      <w:lvlText w:val=""/>
      <w:lvlJc w:val="left"/>
      <w:pPr>
        <w:tabs>
          <w:tab w:val="num" w:pos="1440"/>
        </w:tabs>
        <w:ind w:left="1440" w:hanging="360"/>
      </w:pPr>
      <w:rPr>
        <w:rFonts w:ascii="Wingdings" w:hAnsi="Wingdings" w:hint="default"/>
        <w:color w:val="auto"/>
        <w:sz w:val="22"/>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ヒラギノ角ゴ Pro W3" w:hint="default"/>
      </w:rPr>
    </w:lvl>
    <w:lvl w:ilvl="5" w:tplc="0C090005">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ヒラギノ角ゴ Pro W3"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1FC2A6C"/>
    <w:multiLevelType w:val="hybridMultilevel"/>
    <w:tmpl w:val="3D100AC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15:restartNumberingAfterBreak="0">
    <w:nsid w:val="44511613"/>
    <w:multiLevelType w:val="hybridMultilevel"/>
    <w:tmpl w:val="1A662AF0"/>
    <w:lvl w:ilvl="0" w:tplc="0C090001">
      <w:start w:val="1"/>
      <w:numFmt w:val="bullet"/>
      <w:lvlText w:val=""/>
      <w:lvlJc w:val="left"/>
      <w:pPr>
        <w:ind w:left="473" w:hanging="360"/>
      </w:pPr>
      <w:rPr>
        <w:rFonts w:ascii="Symbol" w:hAnsi="Symbol" w:hint="default"/>
      </w:rPr>
    </w:lvl>
    <w:lvl w:ilvl="1" w:tplc="0C090003">
      <w:start w:val="1"/>
      <w:numFmt w:val="bullet"/>
      <w:lvlText w:val="o"/>
      <w:lvlJc w:val="left"/>
      <w:pPr>
        <w:ind w:left="1193" w:hanging="360"/>
      </w:pPr>
      <w:rPr>
        <w:rFonts w:ascii="Courier New" w:hAnsi="Courier New" w:cs="Courier New" w:hint="default"/>
      </w:rPr>
    </w:lvl>
    <w:lvl w:ilvl="2" w:tplc="0C090005">
      <w:start w:val="1"/>
      <w:numFmt w:val="bullet"/>
      <w:lvlText w:val=""/>
      <w:lvlJc w:val="left"/>
      <w:pPr>
        <w:ind w:left="1913" w:hanging="360"/>
      </w:pPr>
      <w:rPr>
        <w:rFonts w:ascii="Wingdings" w:hAnsi="Wingdings" w:hint="default"/>
      </w:rPr>
    </w:lvl>
    <w:lvl w:ilvl="3" w:tplc="0C090001">
      <w:start w:val="1"/>
      <w:numFmt w:val="bullet"/>
      <w:lvlText w:val=""/>
      <w:lvlJc w:val="left"/>
      <w:pPr>
        <w:ind w:left="2633" w:hanging="360"/>
      </w:pPr>
      <w:rPr>
        <w:rFonts w:ascii="Symbol" w:hAnsi="Symbol" w:hint="default"/>
      </w:rPr>
    </w:lvl>
    <w:lvl w:ilvl="4" w:tplc="0C090003">
      <w:start w:val="1"/>
      <w:numFmt w:val="bullet"/>
      <w:lvlText w:val="o"/>
      <w:lvlJc w:val="left"/>
      <w:pPr>
        <w:ind w:left="3353" w:hanging="360"/>
      </w:pPr>
      <w:rPr>
        <w:rFonts w:ascii="Courier New" w:hAnsi="Courier New" w:cs="Courier New" w:hint="default"/>
      </w:rPr>
    </w:lvl>
    <w:lvl w:ilvl="5" w:tplc="0C090005">
      <w:start w:val="1"/>
      <w:numFmt w:val="bullet"/>
      <w:lvlText w:val=""/>
      <w:lvlJc w:val="left"/>
      <w:pPr>
        <w:ind w:left="4073" w:hanging="360"/>
      </w:pPr>
      <w:rPr>
        <w:rFonts w:ascii="Wingdings" w:hAnsi="Wingdings" w:hint="default"/>
      </w:rPr>
    </w:lvl>
    <w:lvl w:ilvl="6" w:tplc="0C090001">
      <w:start w:val="1"/>
      <w:numFmt w:val="bullet"/>
      <w:lvlText w:val=""/>
      <w:lvlJc w:val="left"/>
      <w:pPr>
        <w:ind w:left="4793" w:hanging="360"/>
      </w:pPr>
      <w:rPr>
        <w:rFonts w:ascii="Symbol" w:hAnsi="Symbol" w:hint="default"/>
      </w:rPr>
    </w:lvl>
    <w:lvl w:ilvl="7" w:tplc="0C090003">
      <w:start w:val="1"/>
      <w:numFmt w:val="bullet"/>
      <w:lvlText w:val="o"/>
      <w:lvlJc w:val="left"/>
      <w:pPr>
        <w:ind w:left="5513" w:hanging="360"/>
      </w:pPr>
      <w:rPr>
        <w:rFonts w:ascii="Courier New" w:hAnsi="Courier New" w:cs="Courier New" w:hint="default"/>
      </w:rPr>
    </w:lvl>
    <w:lvl w:ilvl="8" w:tplc="0C090005">
      <w:start w:val="1"/>
      <w:numFmt w:val="bullet"/>
      <w:lvlText w:val=""/>
      <w:lvlJc w:val="left"/>
      <w:pPr>
        <w:ind w:left="6233" w:hanging="360"/>
      </w:pPr>
      <w:rPr>
        <w:rFonts w:ascii="Wingdings" w:hAnsi="Wingdings" w:hint="default"/>
      </w:rPr>
    </w:lvl>
  </w:abstractNum>
  <w:abstractNum w:abstractNumId="21" w15:restartNumberingAfterBreak="0">
    <w:nsid w:val="457D05BA"/>
    <w:multiLevelType w:val="hybridMultilevel"/>
    <w:tmpl w:val="11903E48"/>
    <w:lvl w:ilvl="0" w:tplc="5EC05332">
      <w:numFmt w:val="bullet"/>
      <w:lvlText w:val="-"/>
      <w:lvlJc w:val="left"/>
      <w:pPr>
        <w:ind w:left="802" w:hanging="361"/>
      </w:pPr>
      <w:rPr>
        <w:rFonts w:ascii="Arial" w:eastAsiaTheme="minorHAnsi" w:hAnsi="Arial" w:cs="Arial" w:hint="default"/>
        <w:w w:val="100"/>
        <w:sz w:val="22"/>
        <w:szCs w:val="22"/>
      </w:rPr>
    </w:lvl>
    <w:lvl w:ilvl="1" w:tplc="0C090003" w:tentative="1">
      <w:start w:val="1"/>
      <w:numFmt w:val="bullet"/>
      <w:lvlText w:val="o"/>
      <w:lvlJc w:val="left"/>
      <w:pPr>
        <w:ind w:left="1770" w:hanging="360"/>
      </w:pPr>
      <w:rPr>
        <w:rFonts w:ascii="Courier New" w:hAnsi="Courier New" w:cs="Courier New" w:hint="default"/>
      </w:rPr>
    </w:lvl>
    <w:lvl w:ilvl="2" w:tplc="0C090005" w:tentative="1">
      <w:start w:val="1"/>
      <w:numFmt w:val="bullet"/>
      <w:lvlText w:val=""/>
      <w:lvlJc w:val="left"/>
      <w:pPr>
        <w:ind w:left="2490" w:hanging="360"/>
      </w:pPr>
      <w:rPr>
        <w:rFonts w:ascii="Wingdings" w:hAnsi="Wingdings" w:hint="default"/>
      </w:rPr>
    </w:lvl>
    <w:lvl w:ilvl="3" w:tplc="0C090001" w:tentative="1">
      <w:start w:val="1"/>
      <w:numFmt w:val="bullet"/>
      <w:lvlText w:val=""/>
      <w:lvlJc w:val="left"/>
      <w:pPr>
        <w:ind w:left="3210" w:hanging="360"/>
      </w:pPr>
      <w:rPr>
        <w:rFonts w:ascii="Symbol" w:hAnsi="Symbol" w:hint="default"/>
      </w:rPr>
    </w:lvl>
    <w:lvl w:ilvl="4" w:tplc="0C090003" w:tentative="1">
      <w:start w:val="1"/>
      <w:numFmt w:val="bullet"/>
      <w:lvlText w:val="o"/>
      <w:lvlJc w:val="left"/>
      <w:pPr>
        <w:ind w:left="3930" w:hanging="360"/>
      </w:pPr>
      <w:rPr>
        <w:rFonts w:ascii="Courier New" w:hAnsi="Courier New" w:cs="Courier New" w:hint="default"/>
      </w:rPr>
    </w:lvl>
    <w:lvl w:ilvl="5" w:tplc="0C090005" w:tentative="1">
      <w:start w:val="1"/>
      <w:numFmt w:val="bullet"/>
      <w:lvlText w:val=""/>
      <w:lvlJc w:val="left"/>
      <w:pPr>
        <w:ind w:left="4650" w:hanging="360"/>
      </w:pPr>
      <w:rPr>
        <w:rFonts w:ascii="Wingdings" w:hAnsi="Wingdings" w:hint="default"/>
      </w:rPr>
    </w:lvl>
    <w:lvl w:ilvl="6" w:tplc="0C090001" w:tentative="1">
      <w:start w:val="1"/>
      <w:numFmt w:val="bullet"/>
      <w:lvlText w:val=""/>
      <w:lvlJc w:val="left"/>
      <w:pPr>
        <w:ind w:left="5370" w:hanging="360"/>
      </w:pPr>
      <w:rPr>
        <w:rFonts w:ascii="Symbol" w:hAnsi="Symbol" w:hint="default"/>
      </w:rPr>
    </w:lvl>
    <w:lvl w:ilvl="7" w:tplc="0C090003" w:tentative="1">
      <w:start w:val="1"/>
      <w:numFmt w:val="bullet"/>
      <w:lvlText w:val="o"/>
      <w:lvlJc w:val="left"/>
      <w:pPr>
        <w:ind w:left="6090" w:hanging="360"/>
      </w:pPr>
      <w:rPr>
        <w:rFonts w:ascii="Courier New" w:hAnsi="Courier New" w:cs="Courier New" w:hint="default"/>
      </w:rPr>
    </w:lvl>
    <w:lvl w:ilvl="8" w:tplc="0C090005" w:tentative="1">
      <w:start w:val="1"/>
      <w:numFmt w:val="bullet"/>
      <w:lvlText w:val=""/>
      <w:lvlJc w:val="left"/>
      <w:pPr>
        <w:ind w:left="6810" w:hanging="360"/>
      </w:pPr>
      <w:rPr>
        <w:rFonts w:ascii="Wingdings" w:hAnsi="Wingdings" w:hint="default"/>
      </w:rPr>
    </w:lvl>
  </w:abstractNum>
  <w:abstractNum w:abstractNumId="22" w15:restartNumberingAfterBreak="0">
    <w:nsid w:val="458B166B"/>
    <w:multiLevelType w:val="hybridMultilevel"/>
    <w:tmpl w:val="5CFE17F8"/>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80"/>
        </w:tabs>
        <w:ind w:left="-180" w:hanging="360"/>
      </w:pPr>
      <w:rPr>
        <w:rFonts w:ascii="Courier New" w:hAnsi="Courier New" w:cs="ヒラギノ角ゴ Pro W3" w:hint="default"/>
      </w:rPr>
    </w:lvl>
    <w:lvl w:ilvl="2" w:tplc="0C090005" w:tentative="1">
      <w:start w:val="1"/>
      <w:numFmt w:val="bullet"/>
      <w:lvlText w:val=""/>
      <w:lvlJc w:val="left"/>
      <w:pPr>
        <w:tabs>
          <w:tab w:val="num" w:pos="540"/>
        </w:tabs>
        <w:ind w:left="540" w:hanging="360"/>
      </w:pPr>
      <w:rPr>
        <w:rFonts w:ascii="Wingdings" w:hAnsi="Wingdings" w:hint="default"/>
      </w:rPr>
    </w:lvl>
    <w:lvl w:ilvl="3" w:tplc="0C090001" w:tentative="1">
      <w:start w:val="1"/>
      <w:numFmt w:val="bullet"/>
      <w:lvlText w:val=""/>
      <w:lvlJc w:val="left"/>
      <w:pPr>
        <w:tabs>
          <w:tab w:val="num" w:pos="1260"/>
        </w:tabs>
        <w:ind w:left="1260" w:hanging="360"/>
      </w:pPr>
      <w:rPr>
        <w:rFonts w:ascii="Symbol" w:hAnsi="Symbol" w:hint="default"/>
      </w:rPr>
    </w:lvl>
    <w:lvl w:ilvl="4" w:tplc="0C090003" w:tentative="1">
      <w:start w:val="1"/>
      <w:numFmt w:val="bullet"/>
      <w:lvlText w:val="o"/>
      <w:lvlJc w:val="left"/>
      <w:pPr>
        <w:tabs>
          <w:tab w:val="num" w:pos="1980"/>
        </w:tabs>
        <w:ind w:left="1980" w:hanging="360"/>
      </w:pPr>
      <w:rPr>
        <w:rFonts w:ascii="Courier New" w:hAnsi="Courier New" w:cs="ヒラギノ角ゴ Pro W3" w:hint="default"/>
      </w:rPr>
    </w:lvl>
    <w:lvl w:ilvl="5" w:tplc="0C090005" w:tentative="1">
      <w:start w:val="1"/>
      <w:numFmt w:val="bullet"/>
      <w:lvlText w:val=""/>
      <w:lvlJc w:val="left"/>
      <w:pPr>
        <w:tabs>
          <w:tab w:val="num" w:pos="2700"/>
        </w:tabs>
        <w:ind w:left="2700" w:hanging="360"/>
      </w:pPr>
      <w:rPr>
        <w:rFonts w:ascii="Wingdings" w:hAnsi="Wingdings" w:hint="default"/>
      </w:rPr>
    </w:lvl>
    <w:lvl w:ilvl="6" w:tplc="0C090001" w:tentative="1">
      <w:start w:val="1"/>
      <w:numFmt w:val="bullet"/>
      <w:lvlText w:val=""/>
      <w:lvlJc w:val="left"/>
      <w:pPr>
        <w:tabs>
          <w:tab w:val="num" w:pos="3420"/>
        </w:tabs>
        <w:ind w:left="3420" w:hanging="360"/>
      </w:pPr>
      <w:rPr>
        <w:rFonts w:ascii="Symbol" w:hAnsi="Symbol" w:hint="default"/>
      </w:rPr>
    </w:lvl>
    <w:lvl w:ilvl="7" w:tplc="0C090003" w:tentative="1">
      <w:start w:val="1"/>
      <w:numFmt w:val="bullet"/>
      <w:lvlText w:val="o"/>
      <w:lvlJc w:val="left"/>
      <w:pPr>
        <w:tabs>
          <w:tab w:val="num" w:pos="4140"/>
        </w:tabs>
        <w:ind w:left="4140" w:hanging="360"/>
      </w:pPr>
      <w:rPr>
        <w:rFonts w:ascii="Courier New" w:hAnsi="Courier New" w:cs="ヒラギノ角ゴ Pro W3" w:hint="default"/>
      </w:rPr>
    </w:lvl>
    <w:lvl w:ilvl="8" w:tplc="0C090005" w:tentative="1">
      <w:start w:val="1"/>
      <w:numFmt w:val="bullet"/>
      <w:lvlText w:val=""/>
      <w:lvlJc w:val="left"/>
      <w:pPr>
        <w:tabs>
          <w:tab w:val="num" w:pos="4860"/>
        </w:tabs>
        <w:ind w:left="4860" w:hanging="360"/>
      </w:pPr>
      <w:rPr>
        <w:rFonts w:ascii="Wingdings" w:hAnsi="Wingdings" w:hint="default"/>
      </w:rPr>
    </w:lvl>
  </w:abstractNum>
  <w:abstractNum w:abstractNumId="23" w15:restartNumberingAfterBreak="0">
    <w:nsid w:val="4A736BB2"/>
    <w:multiLevelType w:val="hybridMultilevel"/>
    <w:tmpl w:val="002255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5AB34EDC"/>
    <w:multiLevelType w:val="hybridMultilevel"/>
    <w:tmpl w:val="E9645610"/>
    <w:lvl w:ilvl="0" w:tplc="26BA11D8">
      <w:start w:val="1"/>
      <w:numFmt w:val="bullet"/>
      <w:pStyle w:val="Bulletedbodymain"/>
      <w:lvlText w:val=""/>
      <w:lvlJc w:val="left"/>
      <w:pPr>
        <w:tabs>
          <w:tab w:val="num" w:pos="567"/>
        </w:tabs>
        <w:ind w:left="567" w:hanging="567"/>
      </w:pPr>
      <w:rPr>
        <w:rFonts w:ascii="Symbol" w:hAnsi="Symbol" w:hint="default"/>
        <w:sz w:val="28"/>
        <w:szCs w:val="28"/>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cs="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cs="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E89089F"/>
    <w:multiLevelType w:val="hybridMultilevel"/>
    <w:tmpl w:val="E87A41B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6" w15:restartNumberingAfterBreak="0">
    <w:nsid w:val="66FC0E07"/>
    <w:multiLevelType w:val="hybridMultilevel"/>
    <w:tmpl w:val="649077F4"/>
    <w:lvl w:ilvl="0" w:tplc="1AB8621A">
      <w:start w:val="1"/>
      <w:numFmt w:val="decimal"/>
      <w:pStyle w:val="NoteIndent"/>
      <w:lvlText w:val="%1."/>
      <w:lvlJc w:val="left"/>
      <w:pPr>
        <w:ind w:left="360" w:hanging="360"/>
      </w:pPr>
      <w:rPr>
        <w:rFonts w:ascii="Arial" w:hAnsi="Arial" w:hint="default"/>
        <w:b w:val="0"/>
        <w:i w:val="0"/>
        <w:sz w:val="16"/>
        <w:u w:val="none"/>
      </w:rPr>
    </w:lvl>
    <w:lvl w:ilvl="1" w:tplc="0C090019" w:tentative="1">
      <w:start w:val="1"/>
      <w:numFmt w:val="lowerLetter"/>
      <w:lvlText w:val="%2."/>
      <w:lvlJc w:val="left"/>
      <w:pPr>
        <w:ind w:left="2101" w:hanging="360"/>
      </w:pPr>
    </w:lvl>
    <w:lvl w:ilvl="2" w:tplc="0C09001B" w:tentative="1">
      <w:start w:val="1"/>
      <w:numFmt w:val="lowerRoman"/>
      <w:lvlText w:val="%3."/>
      <w:lvlJc w:val="right"/>
      <w:pPr>
        <w:ind w:left="2821" w:hanging="180"/>
      </w:pPr>
    </w:lvl>
    <w:lvl w:ilvl="3" w:tplc="0C09000F" w:tentative="1">
      <w:start w:val="1"/>
      <w:numFmt w:val="decimal"/>
      <w:lvlText w:val="%4."/>
      <w:lvlJc w:val="left"/>
      <w:pPr>
        <w:ind w:left="3541" w:hanging="360"/>
      </w:pPr>
    </w:lvl>
    <w:lvl w:ilvl="4" w:tplc="0C090019" w:tentative="1">
      <w:start w:val="1"/>
      <w:numFmt w:val="lowerLetter"/>
      <w:lvlText w:val="%5."/>
      <w:lvlJc w:val="left"/>
      <w:pPr>
        <w:ind w:left="4261" w:hanging="360"/>
      </w:pPr>
    </w:lvl>
    <w:lvl w:ilvl="5" w:tplc="0C09001B" w:tentative="1">
      <w:start w:val="1"/>
      <w:numFmt w:val="lowerRoman"/>
      <w:lvlText w:val="%6."/>
      <w:lvlJc w:val="right"/>
      <w:pPr>
        <w:ind w:left="4981" w:hanging="180"/>
      </w:pPr>
    </w:lvl>
    <w:lvl w:ilvl="6" w:tplc="0C09000F" w:tentative="1">
      <w:start w:val="1"/>
      <w:numFmt w:val="decimal"/>
      <w:lvlText w:val="%7."/>
      <w:lvlJc w:val="left"/>
      <w:pPr>
        <w:ind w:left="5701" w:hanging="360"/>
      </w:pPr>
    </w:lvl>
    <w:lvl w:ilvl="7" w:tplc="0C090019" w:tentative="1">
      <w:start w:val="1"/>
      <w:numFmt w:val="lowerLetter"/>
      <w:lvlText w:val="%8."/>
      <w:lvlJc w:val="left"/>
      <w:pPr>
        <w:ind w:left="6421" w:hanging="360"/>
      </w:pPr>
    </w:lvl>
    <w:lvl w:ilvl="8" w:tplc="0C09001B" w:tentative="1">
      <w:start w:val="1"/>
      <w:numFmt w:val="lowerRoman"/>
      <w:lvlText w:val="%9."/>
      <w:lvlJc w:val="right"/>
      <w:pPr>
        <w:ind w:left="7141" w:hanging="180"/>
      </w:pPr>
    </w:lvl>
  </w:abstractNum>
  <w:abstractNum w:abstractNumId="27" w15:restartNumberingAfterBreak="0">
    <w:nsid w:val="6AE822A5"/>
    <w:multiLevelType w:val="hybridMultilevel"/>
    <w:tmpl w:val="BDAA97B0"/>
    <w:lvl w:ilvl="0" w:tplc="484264F4">
      <w:start w:val="1"/>
      <w:numFmt w:val="bullet"/>
      <w:lvlText w:val=""/>
      <w:lvlJc w:val="left"/>
      <w:pPr>
        <w:ind w:left="473" w:hanging="361"/>
      </w:pPr>
      <w:rPr>
        <w:rFonts w:ascii="Symbol" w:eastAsia="Symbol" w:hAnsi="Symbol" w:hint="default"/>
        <w:w w:val="1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1FC1AF8"/>
    <w:multiLevelType w:val="hybridMultilevel"/>
    <w:tmpl w:val="9D2E56A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15:restartNumberingAfterBreak="0">
    <w:nsid w:val="73B00029"/>
    <w:multiLevelType w:val="hybridMultilevel"/>
    <w:tmpl w:val="CB1A3C58"/>
    <w:lvl w:ilvl="0" w:tplc="6C10FCBC">
      <w:start w:val="1"/>
      <w:numFmt w:val="bullet"/>
      <w:lvlText w:val=""/>
      <w:lvlJc w:val="left"/>
      <w:pPr>
        <w:ind w:left="472" w:hanging="361"/>
      </w:pPr>
      <w:rPr>
        <w:rFonts w:ascii="Symbol" w:eastAsia="Symbol" w:hAnsi="Symbol" w:hint="default"/>
        <w:w w:val="100"/>
        <w:sz w:val="22"/>
        <w:szCs w:val="22"/>
      </w:rPr>
    </w:lvl>
    <w:lvl w:ilvl="1" w:tplc="859EA548">
      <w:start w:val="1"/>
      <w:numFmt w:val="bullet"/>
      <w:lvlText w:val="•"/>
      <w:lvlJc w:val="left"/>
      <w:pPr>
        <w:ind w:left="1444" w:hanging="361"/>
      </w:pPr>
      <w:rPr>
        <w:rFonts w:hint="default"/>
      </w:rPr>
    </w:lvl>
    <w:lvl w:ilvl="2" w:tplc="27C879D0">
      <w:start w:val="1"/>
      <w:numFmt w:val="bullet"/>
      <w:lvlText w:val="•"/>
      <w:lvlJc w:val="left"/>
      <w:pPr>
        <w:ind w:left="2409" w:hanging="361"/>
      </w:pPr>
      <w:rPr>
        <w:rFonts w:hint="default"/>
      </w:rPr>
    </w:lvl>
    <w:lvl w:ilvl="3" w:tplc="BA0A8A5C">
      <w:start w:val="1"/>
      <w:numFmt w:val="bullet"/>
      <w:lvlText w:val="•"/>
      <w:lvlJc w:val="left"/>
      <w:pPr>
        <w:ind w:left="3373" w:hanging="361"/>
      </w:pPr>
      <w:rPr>
        <w:rFonts w:hint="default"/>
      </w:rPr>
    </w:lvl>
    <w:lvl w:ilvl="4" w:tplc="8772A5AE">
      <w:start w:val="1"/>
      <w:numFmt w:val="bullet"/>
      <w:lvlText w:val="•"/>
      <w:lvlJc w:val="left"/>
      <w:pPr>
        <w:ind w:left="4338" w:hanging="361"/>
      </w:pPr>
      <w:rPr>
        <w:rFonts w:hint="default"/>
      </w:rPr>
    </w:lvl>
    <w:lvl w:ilvl="5" w:tplc="9064C8B0">
      <w:start w:val="1"/>
      <w:numFmt w:val="bullet"/>
      <w:lvlText w:val="•"/>
      <w:lvlJc w:val="left"/>
      <w:pPr>
        <w:ind w:left="5303" w:hanging="361"/>
      </w:pPr>
      <w:rPr>
        <w:rFonts w:hint="default"/>
      </w:rPr>
    </w:lvl>
    <w:lvl w:ilvl="6" w:tplc="A8BEF74C">
      <w:start w:val="1"/>
      <w:numFmt w:val="bullet"/>
      <w:lvlText w:val="•"/>
      <w:lvlJc w:val="left"/>
      <w:pPr>
        <w:ind w:left="6267" w:hanging="361"/>
      </w:pPr>
      <w:rPr>
        <w:rFonts w:hint="default"/>
      </w:rPr>
    </w:lvl>
    <w:lvl w:ilvl="7" w:tplc="D34CC254">
      <w:start w:val="1"/>
      <w:numFmt w:val="bullet"/>
      <w:lvlText w:val="•"/>
      <w:lvlJc w:val="left"/>
      <w:pPr>
        <w:ind w:left="7232" w:hanging="361"/>
      </w:pPr>
      <w:rPr>
        <w:rFonts w:hint="default"/>
      </w:rPr>
    </w:lvl>
    <w:lvl w:ilvl="8" w:tplc="A808DEF2">
      <w:start w:val="1"/>
      <w:numFmt w:val="bullet"/>
      <w:lvlText w:val="•"/>
      <w:lvlJc w:val="left"/>
      <w:pPr>
        <w:ind w:left="8197" w:hanging="361"/>
      </w:pPr>
      <w:rPr>
        <w:rFonts w:hint="default"/>
      </w:rPr>
    </w:lvl>
  </w:abstractNum>
  <w:abstractNum w:abstractNumId="30" w15:restartNumberingAfterBreak="0">
    <w:nsid w:val="740F30F3"/>
    <w:multiLevelType w:val="hybridMultilevel"/>
    <w:tmpl w:val="AB0670AA"/>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1" w15:restartNumberingAfterBreak="0">
    <w:nsid w:val="79161A17"/>
    <w:multiLevelType w:val="hybridMultilevel"/>
    <w:tmpl w:val="B3DEC54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0"/>
  </w:num>
  <w:num w:numId="6">
    <w:abstractNumId w:val="10"/>
  </w:num>
  <w:num w:numId="7">
    <w:abstractNumId w:val="17"/>
  </w:num>
  <w:num w:numId="8">
    <w:abstractNumId w:val="24"/>
  </w:num>
  <w:num w:numId="9">
    <w:abstractNumId w:val="20"/>
  </w:num>
  <w:num w:numId="10">
    <w:abstractNumId w:val="25"/>
  </w:num>
  <w:num w:numId="11">
    <w:abstractNumId w:val="14"/>
  </w:num>
  <w:num w:numId="12">
    <w:abstractNumId w:val="6"/>
  </w:num>
  <w:num w:numId="13">
    <w:abstractNumId w:val="26"/>
  </w:num>
  <w:num w:numId="14">
    <w:abstractNumId w:val="22"/>
  </w:num>
  <w:num w:numId="15">
    <w:abstractNumId w:val="29"/>
  </w:num>
  <w:num w:numId="16">
    <w:abstractNumId w:val="5"/>
  </w:num>
  <w:num w:numId="17">
    <w:abstractNumId w:val="30"/>
  </w:num>
  <w:num w:numId="18">
    <w:abstractNumId w:val="9"/>
  </w:num>
  <w:num w:numId="19">
    <w:abstractNumId w:val="12"/>
  </w:num>
  <w:num w:numId="20">
    <w:abstractNumId w:val="27"/>
  </w:num>
  <w:num w:numId="21">
    <w:abstractNumId w:val="16"/>
  </w:num>
  <w:num w:numId="22">
    <w:abstractNumId w:val="28"/>
  </w:num>
  <w:num w:numId="23">
    <w:abstractNumId w:val="11"/>
  </w:num>
  <w:num w:numId="24">
    <w:abstractNumId w:val="7"/>
  </w:num>
  <w:num w:numId="25">
    <w:abstractNumId w:val="19"/>
  </w:num>
  <w:num w:numId="26">
    <w:abstractNumId w:val="18"/>
  </w:num>
  <w:num w:numId="27">
    <w:abstractNumId w:val="15"/>
  </w:num>
  <w:num w:numId="28">
    <w:abstractNumId w:val="29"/>
  </w:num>
  <w:num w:numId="29">
    <w:abstractNumId w:val="31"/>
  </w:num>
  <w:num w:numId="30">
    <w:abstractNumId w:val="15"/>
  </w:num>
  <w:num w:numId="31">
    <w:abstractNumId w:val="21"/>
  </w:num>
  <w:num w:numId="32">
    <w:abstractNumId w:val="13"/>
  </w:num>
  <w:num w:numId="33">
    <w:abstractNumId w:val="23"/>
  </w:num>
  <w:num w:numId="34">
    <w:abstractNumId w:val="8"/>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ttachedTemplate r:id="rId1"/>
  <w:documentProtection w:edit="readOnly" w:enforcement="0"/>
  <w:defaultTabStop w:val="720"/>
  <w:characterSpacingControl w:val="doNotCompress"/>
  <w:hdrShapeDefaults>
    <o:shapedefaults v:ext="edit" spidmax="3276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7067"/>
    <w:rsid w:val="0000007A"/>
    <w:rsid w:val="0000028F"/>
    <w:rsid w:val="00001272"/>
    <w:rsid w:val="00002E74"/>
    <w:rsid w:val="00004E7B"/>
    <w:rsid w:val="00006037"/>
    <w:rsid w:val="000061FD"/>
    <w:rsid w:val="000063A2"/>
    <w:rsid w:val="00011102"/>
    <w:rsid w:val="00012206"/>
    <w:rsid w:val="00012254"/>
    <w:rsid w:val="00012F86"/>
    <w:rsid w:val="00014854"/>
    <w:rsid w:val="000169D6"/>
    <w:rsid w:val="000200F2"/>
    <w:rsid w:val="000209DD"/>
    <w:rsid w:val="0002327F"/>
    <w:rsid w:val="00023CCE"/>
    <w:rsid w:val="000248C4"/>
    <w:rsid w:val="00025073"/>
    <w:rsid w:val="00027144"/>
    <w:rsid w:val="00027BCD"/>
    <w:rsid w:val="00027DC3"/>
    <w:rsid w:val="0003098A"/>
    <w:rsid w:val="00030B5F"/>
    <w:rsid w:val="00031A8F"/>
    <w:rsid w:val="00031B43"/>
    <w:rsid w:val="00031FEB"/>
    <w:rsid w:val="000342AD"/>
    <w:rsid w:val="00035A3E"/>
    <w:rsid w:val="00037001"/>
    <w:rsid w:val="0003738F"/>
    <w:rsid w:val="000403AF"/>
    <w:rsid w:val="00042CC4"/>
    <w:rsid w:val="00043216"/>
    <w:rsid w:val="00043C2B"/>
    <w:rsid w:val="00044EE3"/>
    <w:rsid w:val="00045104"/>
    <w:rsid w:val="00045670"/>
    <w:rsid w:val="0004745D"/>
    <w:rsid w:val="00050E13"/>
    <w:rsid w:val="00050FF3"/>
    <w:rsid w:val="000528C0"/>
    <w:rsid w:val="000533A2"/>
    <w:rsid w:val="00056697"/>
    <w:rsid w:val="00057A7A"/>
    <w:rsid w:val="000636FA"/>
    <w:rsid w:val="0006376C"/>
    <w:rsid w:val="00063928"/>
    <w:rsid w:val="0006416F"/>
    <w:rsid w:val="00066D5A"/>
    <w:rsid w:val="00066ED8"/>
    <w:rsid w:val="00067B4E"/>
    <w:rsid w:val="000708C5"/>
    <w:rsid w:val="000716AB"/>
    <w:rsid w:val="00074462"/>
    <w:rsid w:val="0007674A"/>
    <w:rsid w:val="0007714F"/>
    <w:rsid w:val="0007783C"/>
    <w:rsid w:val="00080CF6"/>
    <w:rsid w:val="0008121B"/>
    <w:rsid w:val="00083625"/>
    <w:rsid w:val="00083CCC"/>
    <w:rsid w:val="00083DAF"/>
    <w:rsid w:val="00084281"/>
    <w:rsid w:val="0008429B"/>
    <w:rsid w:val="00084B55"/>
    <w:rsid w:val="00084F05"/>
    <w:rsid w:val="000871B7"/>
    <w:rsid w:val="00087F62"/>
    <w:rsid w:val="00090BE6"/>
    <w:rsid w:val="00091676"/>
    <w:rsid w:val="00091BED"/>
    <w:rsid w:val="0009203D"/>
    <w:rsid w:val="00093459"/>
    <w:rsid w:val="000939CF"/>
    <w:rsid w:val="00093A20"/>
    <w:rsid w:val="00097275"/>
    <w:rsid w:val="000A32AE"/>
    <w:rsid w:val="000A4DD4"/>
    <w:rsid w:val="000A5837"/>
    <w:rsid w:val="000A6347"/>
    <w:rsid w:val="000A6D36"/>
    <w:rsid w:val="000A6FB7"/>
    <w:rsid w:val="000B0751"/>
    <w:rsid w:val="000B2746"/>
    <w:rsid w:val="000B2C5D"/>
    <w:rsid w:val="000B45FE"/>
    <w:rsid w:val="000B4FAE"/>
    <w:rsid w:val="000B6053"/>
    <w:rsid w:val="000C0FDB"/>
    <w:rsid w:val="000C1444"/>
    <w:rsid w:val="000C175A"/>
    <w:rsid w:val="000C3226"/>
    <w:rsid w:val="000C3D37"/>
    <w:rsid w:val="000C53FF"/>
    <w:rsid w:val="000D0DD5"/>
    <w:rsid w:val="000D0EDD"/>
    <w:rsid w:val="000D184D"/>
    <w:rsid w:val="000D2153"/>
    <w:rsid w:val="000D580C"/>
    <w:rsid w:val="000D672D"/>
    <w:rsid w:val="000D6C39"/>
    <w:rsid w:val="000D6FAD"/>
    <w:rsid w:val="000D775F"/>
    <w:rsid w:val="000E0294"/>
    <w:rsid w:val="000E0715"/>
    <w:rsid w:val="000E1486"/>
    <w:rsid w:val="000E241E"/>
    <w:rsid w:val="000E41E8"/>
    <w:rsid w:val="000E59B7"/>
    <w:rsid w:val="000E623C"/>
    <w:rsid w:val="000E62E1"/>
    <w:rsid w:val="000E62E2"/>
    <w:rsid w:val="000E776F"/>
    <w:rsid w:val="000F1313"/>
    <w:rsid w:val="000F39BE"/>
    <w:rsid w:val="000F6190"/>
    <w:rsid w:val="000F793E"/>
    <w:rsid w:val="00100770"/>
    <w:rsid w:val="00102C35"/>
    <w:rsid w:val="0010403E"/>
    <w:rsid w:val="001046DB"/>
    <w:rsid w:val="001060BD"/>
    <w:rsid w:val="00106790"/>
    <w:rsid w:val="00107286"/>
    <w:rsid w:val="0011044E"/>
    <w:rsid w:val="00113C70"/>
    <w:rsid w:val="0011405E"/>
    <w:rsid w:val="00115C53"/>
    <w:rsid w:val="00120B60"/>
    <w:rsid w:val="00125ADD"/>
    <w:rsid w:val="00126970"/>
    <w:rsid w:val="001274C8"/>
    <w:rsid w:val="0013063D"/>
    <w:rsid w:val="001306B5"/>
    <w:rsid w:val="00133CC5"/>
    <w:rsid w:val="00134701"/>
    <w:rsid w:val="00134EC6"/>
    <w:rsid w:val="00135D23"/>
    <w:rsid w:val="00135DF7"/>
    <w:rsid w:val="001363E9"/>
    <w:rsid w:val="00137049"/>
    <w:rsid w:val="001379D9"/>
    <w:rsid w:val="00142B4E"/>
    <w:rsid w:val="00142BFD"/>
    <w:rsid w:val="00144CF4"/>
    <w:rsid w:val="00146F19"/>
    <w:rsid w:val="00150217"/>
    <w:rsid w:val="001508DC"/>
    <w:rsid w:val="00150C9D"/>
    <w:rsid w:val="0015259A"/>
    <w:rsid w:val="00152FBA"/>
    <w:rsid w:val="00153C30"/>
    <w:rsid w:val="001549CB"/>
    <w:rsid w:val="0015567E"/>
    <w:rsid w:val="001563F4"/>
    <w:rsid w:val="0015651E"/>
    <w:rsid w:val="001604E3"/>
    <w:rsid w:val="00161F25"/>
    <w:rsid w:val="00161F36"/>
    <w:rsid w:val="001622EC"/>
    <w:rsid w:val="001624BD"/>
    <w:rsid w:val="00163A12"/>
    <w:rsid w:val="00165A56"/>
    <w:rsid w:val="0017125F"/>
    <w:rsid w:val="001714D0"/>
    <w:rsid w:val="001725EF"/>
    <w:rsid w:val="00172BD4"/>
    <w:rsid w:val="0017349F"/>
    <w:rsid w:val="00173EA8"/>
    <w:rsid w:val="00174797"/>
    <w:rsid w:val="001747D9"/>
    <w:rsid w:val="00175734"/>
    <w:rsid w:val="00180613"/>
    <w:rsid w:val="001817E3"/>
    <w:rsid w:val="0018285B"/>
    <w:rsid w:val="001878FE"/>
    <w:rsid w:val="001935AB"/>
    <w:rsid w:val="00193603"/>
    <w:rsid w:val="00193922"/>
    <w:rsid w:val="0019393C"/>
    <w:rsid w:val="00194277"/>
    <w:rsid w:val="001942CE"/>
    <w:rsid w:val="00194F51"/>
    <w:rsid w:val="001974D5"/>
    <w:rsid w:val="00197B3E"/>
    <w:rsid w:val="001A0F85"/>
    <w:rsid w:val="001A2974"/>
    <w:rsid w:val="001A3B52"/>
    <w:rsid w:val="001A5642"/>
    <w:rsid w:val="001A5800"/>
    <w:rsid w:val="001A7284"/>
    <w:rsid w:val="001A7DED"/>
    <w:rsid w:val="001B06FA"/>
    <w:rsid w:val="001B645A"/>
    <w:rsid w:val="001B69B3"/>
    <w:rsid w:val="001C2921"/>
    <w:rsid w:val="001C3299"/>
    <w:rsid w:val="001C481B"/>
    <w:rsid w:val="001C5A31"/>
    <w:rsid w:val="001C7C7D"/>
    <w:rsid w:val="001C7CBA"/>
    <w:rsid w:val="001D35C6"/>
    <w:rsid w:val="001D3F93"/>
    <w:rsid w:val="001D4AF4"/>
    <w:rsid w:val="001D5A43"/>
    <w:rsid w:val="001D5D87"/>
    <w:rsid w:val="001D617A"/>
    <w:rsid w:val="001E0C63"/>
    <w:rsid w:val="001E105E"/>
    <w:rsid w:val="001E2110"/>
    <w:rsid w:val="001E28E6"/>
    <w:rsid w:val="001E3DC9"/>
    <w:rsid w:val="001E5D5F"/>
    <w:rsid w:val="001E65BC"/>
    <w:rsid w:val="001E71B8"/>
    <w:rsid w:val="001E7385"/>
    <w:rsid w:val="001E794B"/>
    <w:rsid w:val="001F1C0B"/>
    <w:rsid w:val="001F3CB5"/>
    <w:rsid w:val="001F5A45"/>
    <w:rsid w:val="001F6EE3"/>
    <w:rsid w:val="00200848"/>
    <w:rsid w:val="00203417"/>
    <w:rsid w:val="00204043"/>
    <w:rsid w:val="00204984"/>
    <w:rsid w:val="00204FC0"/>
    <w:rsid w:val="0020622A"/>
    <w:rsid w:val="00207D9D"/>
    <w:rsid w:val="0021043B"/>
    <w:rsid w:val="002108AA"/>
    <w:rsid w:val="00210EB5"/>
    <w:rsid w:val="00211258"/>
    <w:rsid w:val="0021297D"/>
    <w:rsid w:val="00212DF1"/>
    <w:rsid w:val="00215D3D"/>
    <w:rsid w:val="00215F1D"/>
    <w:rsid w:val="0021787C"/>
    <w:rsid w:val="00220FAE"/>
    <w:rsid w:val="002224AF"/>
    <w:rsid w:val="002246BA"/>
    <w:rsid w:val="002305BC"/>
    <w:rsid w:val="00230BA5"/>
    <w:rsid w:val="00232CA5"/>
    <w:rsid w:val="00235D2A"/>
    <w:rsid w:val="00244063"/>
    <w:rsid w:val="00246F99"/>
    <w:rsid w:val="00251874"/>
    <w:rsid w:val="00254141"/>
    <w:rsid w:val="00254EA0"/>
    <w:rsid w:val="00256225"/>
    <w:rsid w:val="00263E9A"/>
    <w:rsid w:val="0026657E"/>
    <w:rsid w:val="002716F4"/>
    <w:rsid w:val="00271B6C"/>
    <w:rsid w:val="00271D75"/>
    <w:rsid w:val="002744F2"/>
    <w:rsid w:val="00275173"/>
    <w:rsid w:val="00275CCA"/>
    <w:rsid w:val="00276729"/>
    <w:rsid w:val="00281144"/>
    <w:rsid w:val="002829D6"/>
    <w:rsid w:val="002830E1"/>
    <w:rsid w:val="00284D87"/>
    <w:rsid w:val="0028641C"/>
    <w:rsid w:val="0028665B"/>
    <w:rsid w:val="00286663"/>
    <w:rsid w:val="00287928"/>
    <w:rsid w:val="00287FF3"/>
    <w:rsid w:val="00292DA9"/>
    <w:rsid w:val="002942A8"/>
    <w:rsid w:val="002979E6"/>
    <w:rsid w:val="002A031F"/>
    <w:rsid w:val="002A13B3"/>
    <w:rsid w:val="002A2A67"/>
    <w:rsid w:val="002A30E1"/>
    <w:rsid w:val="002A47E1"/>
    <w:rsid w:val="002A5A78"/>
    <w:rsid w:val="002A5B49"/>
    <w:rsid w:val="002A63D5"/>
    <w:rsid w:val="002A646D"/>
    <w:rsid w:val="002A6DA6"/>
    <w:rsid w:val="002A76A2"/>
    <w:rsid w:val="002B0D23"/>
    <w:rsid w:val="002B4236"/>
    <w:rsid w:val="002B453A"/>
    <w:rsid w:val="002B54DD"/>
    <w:rsid w:val="002B5689"/>
    <w:rsid w:val="002B609F"/>
    <w:rsid w:val="002B65E6"/>
    <w:rsid w:val="002C1C76"/>
    <w:rsid w:val="002C2E51"/>
    <w:rsid w:val="002C423A"/>
    <w:rsid w:val="002C4255"/>
    <w:rsid w:val="002C51A2"/>
    <w:rsid w:val="002C55E3"/>
    <w:rsid w:val="002C5BB4"/>
    <w:rsid w:val="002C7435"/>
    <w:rsid w:val="002D0CCE"/>
    <w:rsid w:val="002D0DC3"/>
    <w:rsid w:val="002D245A"/>
    <w:rsid w:val="002D2C70"/>
    <w:rsid w:val="002D3B0F"/>
    <w:rsid w:val="002D4718"/>
    <w:rsid w:val="002D58C7"/>
    <w:rsid w:val="002D7800"/>
    <w:rsid w:val="002E08E4"/>
    <w:rsid w:val="002E2061"/>
    <w:rsid w:val="002E2111"/>
    <w:rsid w:val="002E21FA"/>
    <w:rsid w:val="002E3955"/>
    <w:rsid w:val="002E7335"/>
    <w:rsid w:val="002F0A3D"/>
    <w:rsid w:val="002F1ECE"/>
    <w:rsid w:val="002F2E77"/>
    <w:rsid w:val="002F4C78"/>
    <w:rsid w:val="002F5CC0"/>
    <w:rsid w:val="003003C1"/>
    <w:rsid w:val="0030175B"/>
    <w:rsid w:val="00303254"/>
    <w:rsid w:val="003033D7"/>
    <w:rsid w:val="0030462F"/>
    <w:rsid w:val="00306E5F"/>
    <w:rsid w:val="00313730"/>
    <w:rsid w:val="00313CF1"/>
    <w:rsid w:val="003150A9"/>
    <w:rsid w:val="0031583B"/>
    <w:rsid w:val="00316DA1"/>
    <w:rsid w:val="003174F8"/>
    <w:rsid w:val="003217A7"/>
    <w:rsid w:val="00322D29"/>
    <w:rsid w:val="00322DB5"/>
    <w:rsid w:val="00323331"/>
    <w:rsid w:val="00323718"/>
    <w:rsid w:val="00323849"/>
    <w:rsid w:val="0032467C"/>
    <w:rsid w:val="00325479"/>
    <w:rsid w:val="00326F13"/>
    <w:rsid w:val="00335898"/>
    <w:rsid w:val="00336657"/>
    <w:rsid w:val="00337611"/>
    <w:rsid w:val="003404BB"/>
    <w:rsid w:val="00340989"/>
    <w:rsid w:val="00341581"/>
    <w:rsid w:val="0034255C"/>
    <w:rsid w:val="0034439D"/>
    <w:rsid w:val="00345D59"/>
    <w:rsid w:val="003463C9"/>
    <w:rsid w:val="00346D2E"/>
    <w:rsid w:val="003523DF"/>
    <w:rsid w:val="00352616"/>
    <w:rsid w:val="003533CC"/>
    <w:rsid w:val="0035494E"/>
    <w:rsid w:val="00355020"/>
    <w:rsid w:val="00355400"/>
    <w:rsid w:val="003602EE"/>
    <w:rsid w:val="00360CCA"/>
    <w:rsid w:val="0036335A"/>
    <w:rsid w:val="00370D0C"/>
    <w:rsid w:val="003710DA"/>
    <w:rsid w:val="00371B61"/>
    <w:rsid w:val="003727E8"/>
    <w:rsid w:val="00372836"/>
    <w:rsid w:val="0037339D"/>
    <w:rsid w:val="003754AE"/>
    <w:rsid w:val="0038049F"/>
    <w:rsid w:val="00381306"/>
    <w:rsid w:val="0038206B"/>
    <w:rsid w:val="00383028"/>
    <w:rsid w:val="00384358"/>
    <w:rsid w:val="003846BB"/>
    <w:rsid w:val="003871EE"/>
    <w:rsid w:val="00387E20"/>
    <w:rsid w:val="003915AC"/>
    <w:rsid w:val="003919A9"/>
    <w:rsid w:val="00391F48"/>
    <w:rsid w:val="00392F99"/>
    <w:rsid w:val="00393421"/>
    <w:rsid w:val="00394A8D"/>
    <w:rsid w:val="00395098"/>
    <w:rsid w:val="003954F0"/>
    <w:rsid w:val="00395CA1"/>
    <w:rsid w:val="003965F7"/>
    <w:rsid w:val="003A21AF"/>
    <w:rsid w:val="003A242E"/>
    <w:rsid w:val="003A46C5"/>
    <w:rsid w:val="003A50F0"/>
    <w:rsid w:val="003A62C4"/>
    <w:rsid w:val="003B12F9"/>
    <w:rsid w:val="003B2A44"/>
    <w:rsid w:val="003B42BC"/>
    <w:rsid w:val="003B45EC"/>
    <w:rsid w:val="003B55A8"/>
    <w:rsid w:val="003B591E"/>
    <w:rsid w:val="003B6038"/>
    <w:rsid w:val="003B61F8"/>
    <w:rsid w:val="003B7785"/>
    <w:rsid w:val="003C1E9C"/>
    <w:rsid w:val="003C225F"/>
    <w:rsid w:val="003C5F17"/>
    <w:rsid w:val="003C7E43"/>
    <w:rsid w:val="003D1EB6"/>
    <w:rsid w:val="003D372A"/>
    <w:rsid w:val="003D5FBE"/>
    <w:rsid w:val="003D7813"/>
    <w:rsid w:val="003E0DAF"/>
    <w:rsid w:val="003E193E"/>
    <w:rsid w:val="003E5DCD"/>
    <w:rsid w:val="003F03F9"/>
    <w:rsid w:val="003F2006"/>
    <w:rsid w:val="003F2E64"/>
    <w:rsid w:val="003F362F"/>
    <w:rsid w:val="003F70CD"/>
    <w:rsid w:val="00401A04"/>
    <w:rsid w:val="004029E0"/>
    <w:rsid w:val="00402A1B"/>
    <w:rsid w:val="00403862"/>
    <w:rsid w:val="00404974"/>
    <w:rsid w:val="00404C73"/>
    <w:rsid w:val="00405941"/>
    <w:rsid w:val="00405B32"/>
    <w:rsid w:val="00405F31"/>
    <w:rsid w:val="00406476"/>
    <w:rsid w:val="00407324"/>
    <w:rsid w:val="00412645"/>
    <w:rsid w:val="004133C1"/>
    <w:rsid w:val="0041461C"/>
    <w:rsid w:val="004148ED"/>
    <w:rsid w:val="00414AA9"/>
    <w:rsid w:val="00414AD1"/>
    <w:rsid w:val="00415604"/>
    <w:rsid w:val="00415A03"/>
    <w:rsid w:val="00416A01"/>
    <w:rsid w:val="004205D7"/>
    <w:rsid w:val="0042445F"/>
    <w:rsid w:val="00426138"/>
    <w:rsid w:val="004261E1"/>
    <w:rsid w:val="004268BF"/>
    <w:rsid w:val="00427097"/>
    <w:rsid w:val="004276A9"/>
    <w:rsid w:val="00427DC9"/>
    <w:rsid w:val="004334FB"/>
    <w:rsid w:val="00433B7E"/>
    <w:rsid w:val="004351CE"/>
    <w:rsid w:val="004360B5"/>
    <w:rsid w:val="00437B28"/>
    <w:rsid w:val="00442691"/>
    <w:rsid w:val="0044399C"/>
    <w:rsid w:val="004449C7"/>
    <w:rsid w:val="00444E16"/>
    <w:rsid w:val="0044599E"/>
    <w:rsid w:val="00445EB8"/>
    <w:rsid w:val="00446769"/>
    <w:rsid w:val="00447D85"/>
    <w:rsid w:val="00447E0D"/>
    <w:rsid w:val="00450CAC"/>
    <w:rsid w:val="00451E55"/>
    <w:rsid w:val="00455353"/>
    <w:rsid w:val="004562B5"/>
    <w:rsid w:val="00461AF6"/>
    <w:rsid w:val="00463891"/>
    <w:rsid w:val="004700EE"/>
    <w:rsid w:val="0047101F"/>
    <w:rsid w:val="00471739"/>
    <w:rsid w:val="0047545C"/>
    <w:rsid w:val="004774F3"/>
    <w:rsid w:val="00480BB1"/>
    <w:rsid w:val="0048206F"/>
    <w:rsid w:val="00483CE4"/>
    <w:rsid w:val="00485317"/>
    <w:rsid w:val="0048557F"/>
    <w:rsid w:val="0048573A"/>
    <w:rsid w:val="0048717B"/>
    <w:rsid w:val="00487566"/>
    <w:rsid w:val="00487789"/>
    <w:rsid w:val="00490B2B"/>
    <w:rsid w:val="00493A89"/>
    <w:rsid w:val="00493B4C"/>
    <w:rsid w:val="00493D3E"/>
    <w:rsid w:val="00495018"/>
    <w:rsid w:val="004951E1"/>
    <w:rsid w:val="00495B20"/>
    <w:rsid w:val="00496542"/>
    <w:rsid w:val="004A23DC"/>
    <w:rsid w:val="004A2E05"/>
    <w:rsid w:val="004A33A2"/>
    <w:rsid w:val="004A3C92"/>
    <w:rsid w:val="004A414A"/>
    <w:rsid w:val="004A4B6C"/>
    <w:rsid w:val="004B1B44"/>
    <w:rsid w:val="004B29AC"/>
    <w:rsid w:val="004B2BD6"/>
    <w:rsid w:val="004B5544"/>
    <w:rsid w:val="004B788B"/>
    <w:rsid w:val="004C0D51"/>
    <w:rsid w:val="004C1B28"/>
    <w:rsid w:val="004C1D4F"/>
    <w:rsid w:val="004C3C50"/>
    <w:rsid w:val="004C5609"/>
    <w:rsid w:val="004C6A40"/>
    <w:rsid w:val="004C6E70"/>
    <w:rsid w:val="004C7A2B"/>
    <w:rsid w:val="004C7B73"/>
    <w:rsid w:val="004C7C1D"/>
    <w:rsid w:val="004D026F"/>
    <w:rsid w:val="004D07B1"/>
    <w:rsid w:val="004D2721"/>
    <w:rsid w:val="004D3613"/>
    <w:rsid w:val="004E022F"/>
    <w:rsid w:val="004E0669"/>
    <w:rsid w:val="004E13E9"/>
    <w:rsid w:val="004E1443"/>
    <w:rsid w:val="004E2C7D"/>
    <w:rsid w:val="004E34FE"/>
    <w:rsid w:val="004E393C"/>
    <w:rsid w:val="004E427D"/>
    <w:rsid w:val="004E5028"/>
    <w:rsid w:val="004E67B8"/>
    <w:rsid w:val="004E74E6"/>
    <w:rsid w:val="004F0DFE"/>
    <w:rsid w:val="004F1821"/>
    <w:rsid w:val="004F18BD"/>
    <w:rsid w:val="004F1F52"/>
    <w:rsid w:val="004F314C"/>
    <w:rsid w:val="004F5CC2"/>
    <w:rsid w:val="00501CA1"/>
    <w:rsid w:val="00503D90"/>
    <w:rsid w:val="00504176"/>
    <w:rsid w:val="00504468"/>
    <w:rsid w:val="00504AA4"/>
    <w:rsid w:val="00504D0B"/>
    <w:rsid w:val="00504EDD"/>
    <w:rsid w:val="00506C73"/>
    <w:rsid w:val="005075EF"/>
    <w:rsid w:val="00507826"/>
    <w:rsid w:val="005109E9"/>
    <w:rsid w:val="00512063"/>
    <w:rsid w:val="0051332E"/>
    <w:rsid w:val="00513638"/>
    <w:rsid w:val="0051393A"/>
    <w:rsid w:val="00514711"/>
    <w:rsid w:val="0051497B"/>
    <w:rsid w:val="00517B3C"/>
    <w:rsid w:val="00517CD4"/>
    <w:rsid w:val="00520C4F"/>
    <w:rsid w:val="00523124"/>
    <w:rsid w:val="00524D25"/>
    <w:rsid w:val="005268ED"/>
    <w:rsid w:val="00527E5F"/>
    <w:rsid w:val="00531D53"/>
    <w:rsid w:val="005328A3"/>
    <w:rsid w:val="00533D7B"/>
    <w:rsid w:val="00535138"/>
    <w:rsid w:val="005369FF"/>
    <w:rsid w:val="00536D7D"/>
    <w:rsid w:val="00540AAC"/>
    <w:rsid w:val="005443C0"/>
    <w:rsid w:val="00545265"/>
    <w:rsid w:val="00545A8A"/>
    <w:rsid w:val="00550C54"/>
    <w:rsid w:val="00554AB0"/>
    <w:rsid w:val="005555D0"/>
    <w:rsid w:val="005562AC"/>
    <w:rsid w:val="00556993"/>
    <w:rsid w:val="00556AEA"/>
    <w:rsid w:val="005621A1"/>
    <w:rsid w:val="0056360A"/>
    <w:rsid w:val="00564859"/>
    <w:rsid w:val="005649DC"/>
    <w:rsid w:val="0057042C"/>
    <w:rsid w:val="0057070D"/>
    <w:rsid w:val="005729C4"/>
    <w:rsid w:val="00575796"/>
    <w:rsid w:val="00575A0E"/>
    <w:rsid w:val="005766C3"/>
    <w:rsid w:val="00583AE2"/>
    <w:rsid w:val="00583F71"/>
    <w:rsid w:val="00587073"/>
    <w:rsid w:val="005903B9"/>
    <w:rsid w:val="0059072F"/>
    <w:rsid w:val="00590C51"/>
    <w:rsid w:val="005914FB"/>
    <w:rsid w:val="005915E7"/>
    <w:rsid w:val="00591902"/>
    <w:rsid w:val="00593A70"/>
    <w:rsid w:val="005957F9"/>
    <w:rsid w:val="00596FDD"/>
    <w:rsid w:val="005977F7"/>
    <w:rsid w:val="00597F6C"/>
    <w:rsid w:val="00597FD1"/>
    <w:rsid w:val="005A3289"/>
    <w:rsid w:val="005B1B72"/>
    <w:rsid w:val="005B295C"/>
    <w:rsid w:val="005B2D86"/>
    <w:rsid w:val="005B394F"/>
    <w:rsid w:val="005B3D22"/>
    <w:rsid w:val="005B53EE"/>
    <w:rsid w:val="005B55E9"/>
    <w:rsid w:val="005B5F0C"/>
    <w:rsid w:val="005B69A5"/>
    <w:rsid w:val="005C45AC"/>
    <w:rsid w:val="005C653D"/>
    <w:rsid w:val="005C77DE"/>
    <w:rsid w:val="005C7FBD"/>
    <w:rsid w:val="005D02D3"/>
    <w:rsid w:val="005D0844"/>
    <w:rsid w:val="005D0EE4"/>
    <w:rsid w:val="005D1BB6"/>
    <w:rsid w:val="005D49ED"/>
    <w:rsid w:val="005D6AF4"/>
    <w:rsid w:val="005D73A1"/>
    <w:rsid w:val="005D770E"/>
    <w:rsid w:val="005E27F2"/>
    <w:rsid w:val="005E4D92"/>
    <w:rsid w:val="005E5C85"/>
    <w:rsid w:val="005E7B49"/>
    <w:rsid w:val="005E7E65"/>
    <w:rsid w:val="005F10E8"/>
    <w:rsid w:val="005F2D1A"/>
    <w:rsid w:val="005F410E"/>
    <w:rsid w:val="005F497A"/>
    <w:rsid w:val="005F6EE4"/>
    <w:rsid w:val="006000A6"/>
    <w:rsid w:val="00601BB3"/>
    <w:rsid w:val="00606429"/>
    <w:rsid w:val="00607589"/>
    <w:rsid w:val="00614934"/>
    <w:rsid w:val="00615281"/>
    <w:rsid w:val="0061657A"/>
    <w:rsid w:val="006166C7"/>
    <w:rsid w:val="006171D1"/>
    <w:rsid w:val="00622F11"/>
    <w:rsid w:val="006239CC"/>
    <w:rsid w:val="00624802"/>
    <w:rsid w:val="006261AC"/>
    <w:rsid w:val="00627EFF"/>
    <w:rsid w:val="00630628"/>
    <w:rsid w:val="006308AA"/>
    <w:rsid w:val="00631384"/>
    <w:rsid w:val="00632B9F"/>
    <w:rsid w:val="00634043"/>
    <w:rsid w:val="00634207"/>
    <w:rsid w:val="0063559E"/>
    <w:rsid w:val="006358CE"/>
    <w:rsid w:val="006369A6"/>
    <w:rsid w:val="00637EAA"/>
    <w:rsid w:val="00643CE2"/>
    <w:rsid w:val="00650301"/>
    <w:rsid w:val="00650400"/>
    <w:rsid w:val="006518EC"/>
    <w:rsid w:val="006540E0"/>
    <w:rsid w:val="00654F78"/>
    <w:rsid w:val="006554F2"/>
    <w:rsid w:val="00656E75"/>
    <w:rsid w:val="00661249"/>
    <w:rsid w:val="00661862"/>
    <w:rsid w:val="00662619"/>
    <w:rsid w:val="00663E28"/>
    <w:rsid w:val="00665D41"/>
    <w:rsid w:val="006666CF"/>
    <w:rsid w:val="00666B00"/>
    <w:rsid w:val="006673DB"/>
    <w:rsid w:val="00667FC5"/>
    <w:rsid w:val="00674424"/>
    <w:rsid w:val="0067567E"/>
    <w:rsid w:val="00675B36"/>
    <w:rsid w:val="00676AC4"/>
    <w:rsid w:val="00676E08"/>
    <w:rsid w:val="006771D5"/>
    <w:rsid w:val="00677D61"/>
    <w:rsid w:val="00680C04"/>
    <w:rsid w:val="00681E85"/>
    <w:rsid w:val="00681FEE"/>
    <w:rsid w:val="00682310"/>
    <w:rsid w:val="00685A7D"/>
    <w:rsid w:val="00690909"/>
    <w:rsid w:val="00690AF9"/>
    <w:rsid w:val="006916E1"/>
    <w:rsid w:val="00692854"/>
    <w:rsid w:val="00696557"/>
    <w:rsid w:val="00696C00"/>
    <w:rsid w:val="00697313"/>
    <w:rsid w:val="006A0FDB"/>
    <w:rsid w:val="006A4663"/>
    <w:rsid w:val="006A4CE1"/>
    <w:rsid w:val="006A4DBB"/>
    <w:rsid w:val="006A6753"/>
    <w:rsid w:val="006A72A7"/>
    <w:rsid w:val="006A770E"/>
    <w:rsid w:val="006B2629"/>
    <w:rsid w:val="006B26EA"/>
    <w:rsid w:val="006B2A49"/>
    <w:rsid w:val="006B3DF9"/>
    <w:rsid w:val="006B437E"/>
    <w:rsid w:val="006B4EF6"/>
    <w:rsid w:val="006B5727"/>
    <w:rsid w:val="006B6F31"/>
    <w:rsid w:val="006B750B"/>
    <w:rsid w:val="006B7747"/>
    <w:rsid w:val="006C0828"/>
    <w:rsid w:val="006C359F"/>
    <w:rsid w:val="006C3836"/>
    <w:rsid w:val="006C4321"/>
    <w:rsid w:val="006C5377"/>
    <w:rsid w:val="006C6E5A"/>
    <w:rsid w:val="006C6E70"/>
    <w:rsid w:val="006D0FF1"/>
    <w:rsid w:val="006D31C6"/>
    <w:rsid w:val="006D3DE5"/>
    <w:rsid w:val="006D4424"/>
    <w:rsid w:val="006D5D3F"/>
    <w:rsid w:val="006D7103"/>
    <w:rsid w:val="006E0CA1"/>
    <w:rsid w:val="006E3705"/>
    <w:rsid w:val="006E6E54"/>
    <w:rsid w:val="006E756F"/>
    <w:rsid w:val="006F15A1"/>
    <w:rsid w:val="006F3D51"/>
    <w:rsid w:val="006F5A5A"/>
    <w:rsid w:val="006F6A2C"/>
    <w:rsid w:val="006F7067"/>
    <w:rsid w:val="006F7A09"/>
    <w:rsid w:val="0070144E"/>
    <w:rsid w:val="00702FD9"/>
    <w:rsid w:val="007070AD"/>
    <w:rsid w:val="0071116D"/>
    <w:rsid w:val="00711435"/>
    <w:rsid w:val="0071190F"/>
    <w:rsid w:val="00720334"/>
    <w:rsid w:val="0072333D"/>
    <w:rsid w:val="007239A5"/>
    <w:rsid w:val="0072455D"/>
    <w:rsid w:val="007251B3"/>
    <w:rsid w:val="007252E1"/>
    <w:rsid w:val="00725889"/>
    <w:rsid w:val="007260D6"/>
    <w:rsid w:val="0072709C"/>
    <w:rsid w:val="00730E6E"/>
    <w:rsid w:val="007326D0"/>
    <w:rsid w:val="00732ADA"/>
    <w:rsid w:val="00733B89"/>
    <w:rsid w:val="00733C07"/>
    <w:rsid w:val="00735103"/>
    <w:rsid w:val="00735EE8"/>
    <w:rsid w:val="00736ED4"/>
    <w:rsid w:val="00736FA5"/>
    <w:rsid w:val="007405D1"/>
    <w:rsid w:val="00740E25"/>
    <w:rsid w:val="00741342"/>
    <w:rsid w:val="00742114"/>
    <w:rsid w:val="00743718"/>
    <w:rsid w:val="007452EC"/>
    <w:rsid w:val="00750155"/>
    <w:rsid w:val="00752C56"/>
    <w:rsid w:val="00752DA3"/>
    <w:rsid w:val="007556D9"/>
    <w:rsid w:val="00755978"/>
    <w:rsid w:val="007563B7"/>
    <w:rsid w:val="007565C1"/>
    <w:rsid w:val="00757955"/>
    <w:rsid w:val="00757B2A"/>
    <w:rsid w:val="0076117E"/>
    <w:rsid w:val="007621B8"/>
    <w:rsid w:val="00763870"/>
    <w:rsid w:val="007649E2"/>
    <w:rsid w:val="00766756"/>
    <w:rsid w:val="0076687B"/>
    <w:rsid w:val="00766A2E"/>
    <w:rsid w:val="007700C8"/>
    <w:rsid w:val="0077095E"/>
    <w:rsid w:val="00770CD4"/>
    <w:rsid w:val="00771447"/>
    <w:rsid w:val="007715C3"/>
    <w:rsid w:val="00771B89"/>
    <w:rsid w:val="00772AA1"/>
    <w:rsid w:val="00772BD3"/>
    <w:rsid w:val="00772ED7"/>
    <w:rsid w:val="00775DCA"/>
    <w:rsid w:val="00776CC7"/>
    <w:rsid w:val="0077750D"/>
    <w:rsid w:val="00780334"/>
    <w:rsid w:val="007808E2"/>
    <w:rsid w:val="00783617"/>
    <w:rsid w:val="007844BD"/>
    <w:rsid w:val="007846D5"/>
    <w:rsid w:val="0078722C"/>
    <w:rsid w:val="00790F61"/>
    <w:rsid w:val="00791A82"/>
    <w:rsid w:val="0079608E"/>
    <w:rsid w:val="00797EC6"/>
    <w:rsid w:val="007A0BA3"/>
    <w:rsid w:val="007A1B51"/>
    <w:rsid w:val="007A1DEC"/>
    <w:rsid w:val="007A21CD"/>
    <w:rsid w:val="007A2255"/>
    <w:rsid w:val="007A4AD3"/>
    <w:rsid w:val="007A755D"/>
    <w:rsid w:val="007B1861"/>
    <w:rsid w:val="007B2CAA"/>
    <w:rsid w:val="007B30DF"/>
    <w:rsid w:val="007B4D0F"/>
    <w:rsid w:val="007B51BB"/>
    <w:rsid w:val="007B5F98"/>
    <w:rsid w:val="007B6AE8"/>
    <w:rsid w:val="007B7AC6"/>
    <w:rsid w:val="007C0646"/>
    <w:rsid w:val="007C0BE7"/>
    <w:rsid w:val="007C2090"/>
    <w:rsid w:val="007C2B1C"/>
    <w:rsid w:val="007C2EE0"/>
    <w:rsid w:val="007C3788"/>
    <w:rsid w:val="007C395F"/>
    <w:rsid w:val="007C54CF"/>
    <w:rsid w:val="007C58C3"/>
    <w:rsid w:val="007C72EC"/>
    <w:rsid w:val="007C7876"/>
    <w:rsid w:val="007D52C3"/>
    <w:rsid w:val="007D6C4C"/>
    <w:rsid w:val="007D7C5D"/>
    <w:rsid w:val="007D7CDD"/>
    <w:rsid w:val="007E0ABA"/>
    <w:rsid w:val="007E16A8"/>
    <w:rsid w:val="007E3616"/>
    <w:rsid w:val="007E457F"/>
    <w:rsid w:val="007E6C53"/>
    <w:rsid w:val="007E6FB1"/>
    <w:rsid w:val="007E77FC"/>
    <w:rsid w:val="007E7E73"/>
    <w:rsid w:val="007F0709"/>
    <w:rsid w:val="007F0E08"/>
    <w:rsid w:val="007F17C1"/>
    <w:rsid w:val="007F1B30"/>
    <w:rsid w:val="007F4300"/>
    <w:rsid w:val="007F4460"/>
    <w:rsid w:val="007F4BF5"/>
    <w:rsid w:val="007F4C99"/>
    <w:rsid w:val="007F64D6"/>
    <w:rsid w:val="007F6FAB"/>
    <w:rsid w:val="007F7F4F"/>
    <w:rsid w:val="0080347F"/>
    <w:rsid w:val="008039DF"/>
    <w:rsid w:val="00805C7F"/>
    <w:rsid w:val="00813569"/>
    <w:rsid w:val="00815471"/>
    <w:rsid w:val="00815C43"/>
    <w:rsid w:val="00816AA6"/>
    <w:rsid w:val="00817151"/>
    <w:rsid w:val="00817761"/>
    <w:rsid w:val="00820410"/>
    <w:rsid w:val="008206AC"/>
    <w:rsid w:val="00821942"/>
    <w:rsid w:val="008224B6"/>
    <w:rsid w:val="0082281D"/>
    <w:rsid w:val="0082401E"/>
    <w:rsid w:val="0082443B"/>
    <w:rsid w:val="008258DF"/>
    <w:rsid w:val="00825B76"/>
    <w:rsid w:val="00826C78"/>
    <w:rsid w:val="00827F5C"/>
    <w:rsid w:val="00831B88"/>
    <w:rsid w:val="00831F25"/>
    <w:rsid w:val="008332CC"/>
    <w:rsid w:val="008339C1"/>
    <w:rsid w:val="00834B84"/>
    <w:rsid w:val="00836649"/>
    <w:rsid w:val="00840694"/>
    <w:rsid w:val="00842873"/>
    <w:rsid w:val="008434E8"/>
    <w:rsid w:val="0084442D"/>
    <w:rsid w:val="0084742D"/>
    <w:rsid w:val="00851647"/>
    <w:rsid w:val="00851C0B"/>
    <w:rsid w:val="00853316"/>
    <w:rsid w:val="00853CFA"/>
    <w:rsid w:val="0085527B"/>
    <w:rsid w:val="00855E69"/>
    <w:rsid w:val="008573F9"/>
    <w:rsid w:val="00857EE4"/>
    <w:rsid w:val="0086264D"/>
    <w:rsid w:val="0086349B"/>
    <w:rsid w:val="008656AB"/>
    <w:rsid w:val="0086646B"/>
    <w:rsid w:val="008673D5"/>
    <w:rsid w:val="00867473"/>
    <w:rsid w:val="00870CD7"/>
    <w:rsid w:val="00871057"/>
    <w:rsid w:val="00871932"/>
    <w:rsid w:val="00873DB9"/>
    <w:rsid w:val="008743F1"/>
    <w:rsid w:val="008757D6"/>
    <w:rsid w:val="00875DEE"/>
    <w:rsid w:val="00876232"/>
    <w:rsid w:val="00876BC1"/>
    <w:rsid w:val="00880123"/>
    <w:rsid w:val="00880144"/>
    <w:rsid w:val="00883274"/>
    <w:rsid w:val="0088474D"/>
    <w:rsid w:val="00884CA9"/>
    <w:rsid w:val="008852B7"/>
    <w:rsid w:val="00885C0E"/>
    <w:rsid w:val="0088788B"/>
    <w:rsid w:val="00891A7B"/>
    <w:rsid w:val="00891BA6"/>
    <w:rsid w:val="00893DC3"/>
    <w:rsid w:val="00894D81"/>
    <w:rsid w:val="008A0442"/>
    <w:rsid w:val="008A0960"/>
    <w:rsid w:val="008A1483"/>
    <w:rsid w:val="008A1FC0"/>
    <w:rsid w:val="008A2DF3"/>
    <w:rsid w:val="008A5F96"/>
    <w:rsid w:val="008A6B5E"/>
    <w:rsid w:val="008A753C"/>
    <w:rsid w:val="008A7B2D"/>
    <w:rsid w:val="008A7EFB"/>
    <w:rsid w:val="008B06E5"/>
    <w:rsid w:val="008B2940"/>
    <w:rsid w:val="008B2BB4"/>
    <w:rsid w:val="008B70CD"/>
    <w:rsid w:val="008C0C96"/>
    <w:rsid w:val="008C143D"/>
    <w:rsid w:val="008C22C1"/>
    <w:rsid w:val="008C2DAC"/>
    <w:rsid w:val="008C42A6"/>
    <w:rsid w:val="008C50D0"/>
    <w:rsid w:val="008C5B25"/>
    <w:rsid w:val="008C7877"/>
    <w:rsid w:val="008D285E"/>
    <w:rsid w:val="008D292A"/>
    <w:rsid w:val="008D3ADF"/>
    <w:rsid w:val="008D640C"/>
    <w:rsid w:val="008D6FBF"/>
    <w:rsid w:val="008D7258"/>
    <w:rsid w:val="008D75C7"/>
    <w:rsid w:val="008D7FEF"/>
    <w:rsid w:val="008E12A4"/>
    <w:rsid w:val="008E1BEA"/>
    <w:rsid w:val="008E3357"/>
    <w:rsid w:val="008E3BB3"/>
    <w:rsid w:val="008E44A0"/>
    <w:rsid w:val="008E4950"/>
    <w:rsid w:val="008E725F"/>
    <w:rsid w:val="008E7396"/>
    <w:rsid w:val="008F009B"/>
    <w:rsid w:val="008F0F07"/>
    <w:rsid w:val="008F1BA6"/>
    <w:rsid w:val="008F50BB"/>
    <w:rsid w:val="008F6C51"/>
    <w:rsid w:val="00900501"/>
    <w:rsid w:val="0090189F"/>
    <w:rsid w:val="00903EE1"/>
    <w:rsid w:val="009040CC"/>
    <w:rsid w:val="00904467"/>
    <w:rsid w:val="00904E0A"/>
    <w:rsid w:val="0090511F"/>
    <w:rsid w:val="00910CAF"/>
    <w:rsid w:val="0091197C"/>
    <w:rsid w:val="00911F19"/>
    <w:rsid w:val="009144A2"/>
    <w:rsid w:val="009148FF"/>
    <w:rsid w:val="009159A2"/>
    <w:rsid w:val="00915E35"/>
    <w:rsid w:val="00917CDF"/>
    <w:rsid w:val="00921D00"/>
    <w:rsid w:val="00925D64"/>
    <w:rsid w:val="009304BF"/>
    <w:rsid w:val="00932BCC"/>
    <w:rsid w:val="00933115"/>
    <w:rsid w:val="00933D31"/>
    <w:rsid w:val="00933DF1"/>
    <w:rsid w:val="009358F4"/>
    <w:rsid w:val="00935D87"/>
    <w:rsid w:val="009369E3"/>
    <w:rsid w:val="00943304"/>
    <w:rsid w:val="009433D0"/>
    <w:rsid w:val="0094426B"/>
    <w:rsid w:val="00944665"/>
    <w:rsid w:val="00945367"/>
    <w:rsid w:val="0094796D"/>
    <w:rsid w:val="00947F00"/>
    <w:rsid w:val="00950453"/>
    <w:rsid w:val="00952E17"/>
    <w:rsid w:val="00954B20"/>
    <w:rsid w:val="009554CB"/>
    <w:rsid w:val="00957112"/>
    <w:rsid w:val="00961C68"/>
    <w:rsid w:val="00961E58"/>
    <w:rsid w:val="0096305D"/>
    <w:rsid w:val="00964329"/>
    <w:rsid w:val="00964481"/>
    <w:rsid w:val="00971083"/>
    <w:rsid w:val="00972A8B"/>
    <w:rsid w:val="0097407E"/>
    <w:rsid w:val="00974868"/>
    <w:rsid w:val="00977128"/>
    <w:rsid w:val="00980759"/>
    <w:rsid w:val="009814DF"/>
    <w:rsid w:val="00981DB4"/>
    <w:rsid w:val="009829EB"/>
    <w:rsid w:val="00986044"/>
    <w:rsid w:val="00986792"/>
    <w:rsid w:val="009900F9"/>
    <w:rsid w:val="00991936"/>
    <w:rsid w:val="00992AF9"/>
    <w:rsid w:val="00996D85"/>
    <w:rsid w:val="00996DA7"/>
    <w:rsid w:val="009A0E72"/>
    <w:rsid w:val="009A0F33"/>
    <w:rsid w:val="009A1A19"/>
    <w:rsid w:val="009A2BA5"/>
    <w:rsid w:val="009A3D4A"/>
    <w:rsid w:val="009A44D4"/>
    <w:rsid w:val="009A5034"/>
    <w:rsid w:val="009A56F7"/>
    <w:rsid w:val="009A5A23"/>
    <w:rsid w:val="009A6143"/>
    <w:rsid w:val="009A6E0F"/>
    <w:rsid w:val="009B0831"/>
    <w:rsid w:val="009B1588"/>
    <w:rsid w:val="009B189E"/>
    <w:rsid w:val="009B1F13"/>
    <w:rsid w:val="009B456C"/>
    <w:rsid w:val="009B4E18"/>
    <w:rsid w:val="009B6712"/>
    <w:rsid w:val="009B6859"/>
    <w:rsid w:val="009B70D7"/>
    <w:rsid w:val="009C0B9C"/>
    <w:rsid w:val="009C6B29"/>
    <w:rsid w:val="009C75B8"/>
    <w:rsid w:val="009D1104"/>
    <w:rsid w:val="009D1547"/>
    <w:rsid w:val="009D182A"/>
    <w:rsid w:val="009D18DB"/>
    <w:rsid w:val="009D1CD0"/>
    <w:rsid w:val="009D2E48"/>
    <w:rsid w:val="009D46A4"/>
    <w:rsid w:val="009D52E8"/>
    <w:rsid w:val="009D6B00"/>
    <w:rsid w:val="009E0662"/>
    <w:rsid w:val="009E1600"/>
    <w:rsid w:val="009E196D"/>
    <w:rsid w:val="009E19EB"/>
    <w:rsid w:val="009E1A07"/>
    <w:rsid w:val="009E216D"/>
    <w:rsid w:val="009E2EE1"/>
    <w:rsid w:val="009E305C"/>
    <w:rsid w:val="009E3D90"/>
    <w:rsid w:val="009E4622"/>
    <w:rsid w:val="009F13A2"/>
    <w:rsid w:val="009F213F"/>
    <w:rsid w:val="009F289A"/>
    <w:rsid w:val="009F2B05"/>
    <w:rsid w:val="009F2BB7"/>
    <w:rsid w:val="009F344A"/>
    <w:rsid w:val="009F5515"/>
    <w:rsid w:val="009F58E9"/>
    <w:rsid w:val="009F6422"/>
    <w:rsid w:val="009F6626"/>
    <w:rsid w:val="009F72BC"/>
    <w:rsid w:val="009F7D3D"/>
    <w:rsid w:val="00A00BA1"/>
    <w:rsid w:val="00A00EB2"/>
    <w:rsid w:val="00A0105F"/>
    <w:rsid w:val="00A01CB2"/>
    <w:rsid w:val="00A029CD"/>
    <w:rsid w:val="00A034E9"/>
    <w:rsid w:val="00A04190"/>
    <w:rsid w:val="00A05448"/>
    <w:rsid w:val="00A06506"/>
    <w:rsid w:val="00A06FC9"/>
    <w:rsid w:val="00A110D8"/>
    <w:rsid w:val="00A112A8"/>
    <w:rsid w:val="00A11CE3"/>
    <w:rsid w:val="00A127A1"/>
    <w:rsid w:val="00A1320A"/>
    <w:rsid w:val="00A13679"/>
    <w:rsid w:val="00A14B7B"/>
    <w:rsid w:val="00A16493"/>
    <w:rsid w:val="00A16734"/>
    <w:rsid w:val="00A17A33"/>
    <w:rsid w:val="00A203E0"/>
    <w:rsid w:val="00A20BFF"/>
    <w:rsid w:val="00A222DC"/>
    <w:rsid w:val="00A227E5"/>
    <w:rsid w:val="00A24190"/>
    <w:rsid w:val="00A258C8"/>
    <w:rsid w:val="00A25B54"/>
    <w:rsid w:val="00A301B5"/>
    <w:rsid w:val="00A33B2D"/>
    <w:rsid w:val="00A34069"/>
    <w:rsid w:val="00A34FD7"/>
    <w:rsid w:val="00A351FC"/>
    <w:rsid w:val="00A352C9"/>
    <w:rsid w:val="00A35582"/>
    <w:rsid w:val="00A35E4D"/>
    <w:rsid w:val="00A37153"/>
    <w:rsid w:val="00A37637"/>
    <w:rsid w:val="00A40BC8"/>
    <w:rsid w:val="00A415DC"/>
    <w:rsid w:val="00A45AB3"/>
    <w:rsid w:val="00A50BEA"/>
    <w:rsid w:val="00A50FC4"/>
    <w:rsid w:val="00A510F2"/>
    <w:rsid w:val="00A51C20"/>
    <w:rsid w:val="00A52413"/>
    <w:rsid w:val="00A53386"/>
    <w:rsid w:val="00A5395F"/>
    <w:rsid w:val="00A53AB7"/>
    <w:rsid w:val="00A53C94"/>
    <w:rsid w:val="00A53F49"/>
    <w:rsid w:val="00A544E4"/>
    <w:rsid w:val="00A54E9D"/>
    <w:rsid w:val="00A56495"/>
    <w:rsid w:val="00A57E34"/>
    <w:rsid w:val="00A616E5"/>
    <w:rsid w:val="00A6264A"/>
    <w:rsid w:val="00A646D9"/>
    <w:rsid w:val="00A71BF7"/>
    <w:rsid w:val="00A71EDB"/>
    <w:rsid w:val="00A7223A"/>
    <w:rsid w:val="00A74411"/>
    <w:rsid w:val="00A76854"/>
    <w:rsid w:val="00A811E3"/>
    <w:rsid w:val="00A81344"/>
    <w:rsid w:val="00A82C7D"/>
    <w:rsid w:val="00A855CF"/>
    <w:rsid w:val="00A86920"/>
    <w:rsid w:val="00A929E6"/>
    <w:rsid w:val="00A96F79"/>
    <w:rsid w:val="00AA0603"/>
    <w:rsid w:val="00AA1A17"/>
    <w:rsid w:val="00AA3616"/>
    <w:rsid w:val="00AA3A45"/>
    <w:rsid w:val="00AA3F8C"/>
    <w:rsid w:val="00AA4356"/>
    <w:rsid w:val="00AA47DE"/>
    <w:rsid w:val="00AA4F42"/>
    <w:rsid w:val="00AA6048"/>
    <w:rsid w:val="00AA6139"/>
    <w:rsid w:val="00AA6716"/>
    <w:rsid w:val="00AB0126"/>
    <w:rsid w:val="00AB05E1"/>
    <w:rsid w:val="00AB35F4"/>
    <w:rsid w:val="00AB6697"/>
    <w:rsid w:val="00AC0A2C"/>
    <w:rsid w:val="00AC11D3"/>
    <w:rsid w:val="00AC12B1"/>
    <w:rsid w:val="00AC25FB"/>
    <w:rsid w:val="00AC27BB"/>
    <w:rsid w:val="00AC7440"/>
    <w:rsid w:val="00AC7458"/>
    <w:rsid w:val="00AD1A81"/>
    <w:rsid w:val="00AD2241"/>
    <w:rsid w:val="00AD25D1"/>
    <w:rsid w:val="00AD3C40"/>
    <w:rsid w:val="00AD43DD"/>
    <w:rsid w:val="00AD494C"/>
    <w:rsid w:val="00AD4E73"/>
    <w:rsid w:val="00AD540E"/>
    <w:rsid w:val="00AD7B7A"/>
    <w:rsid w:val="00AE06B7"/>
    <w:rsid w:val="00AE0D35"/>
    <w:rsid w:val="00AE113F"/>
    <w:rsid w:val="00AE120F"/>
    <w:rsid w:val="00AE2186"/>
    <w:rsid w:val="00AE21CD"/>
    <w:rsid w:val="00AE6733"/>
    <w:rsid w:val="00AF0628"/>
    <w:rsid w:val="00AF195A"/>
    <w:rsid w:val="00AF244E"/>
    <w:rsid w:val="00AF2CF3"/>
    <w:rsid w:val="00AF31D1"/>
    <w:rsid w:val="00AF36BC"/>
    <w:rsid w:val="00AF37E3"/>
    <w:rsid w:val="00AF5A65"/>
    <w:rsid w:val="00B008E8"/>
    <w:rsid w:val="00B009A1"/>
    <w:rsid w:val="00B01EBE"/>
    <w:rsid w:val="00B06362"/>
    <w:rsid w:val="00B06953"/>
    <w:rsid w:val="00B0760E"/>
    <w:rsid w:val="00B10B08"/>
    <w:rsid w:val="00B1736E"/>
    <w:rsid w:val="00B17D75"/>
    <w:rsid w:val="00B2006C"/>
    <w:rsid w:val="00B2375C"/>
    <w:rsid w:val="00B2476D"/>
    <w:rsid w:val="00B24E5F"/>
    <w:rsid w:val="00B251DF"/>
    <w:rsid w:val="00B26C4D"/>
    <w:rsid w:val="00B2775A"/>
    <w:rsid w:val="00B3098A"/>
    <w:rsid w:val="00B30E50"/>
    <w:rsid w:val="00B3186D"/>
    <w:rsid w:val="00B321EB"/>
    <w:rsid w:val="00B337FA"/>
    <w:rsid w:val="00B34B8E"/>
    <w:rsid w:val="00B34C2F"/>
    <w:rsid w:val="00B353AD"/>
    <w:rsid w:val="00B368C4"/>
    <w:rsid w:val="00B36A10"/>
    <w:rsid w:val="00B36D76"/>
    <w:rsid w:val="00B4292B"/>
    <w:rsid w:val="00B42EC6"/>
    <w:rsid w:val="00B4535D"/>
    <w:rsid w:val="00B455A4"/>
    <w:rsid w:val="00B46478"/>
    <w:rsid w:val="00B465A9"/>
    <w:rsid w:val="00B46930"/>
    <w:rsid w:val="00B46CD6"/>
    <w:rsid w:val="00B4749D"/>
    <w:rsid w:val="00B47627"/>
    <w:rsid w:val="00B47EAD"/>
    <w:rsid w:val="00B5046A"/>
    <w:rsid w:val="00B50F4F"/>
    <w:rsid w:val="00B52647"/>
    <w:rsid w:val="00B52830"/>
    <w:rsid w:val="00B529BC"/>
    <w:rsid w:val="00B551DA"/>
    <w:rsid w:val="00B55DB4"/>
    <w:rsid w:val="00B578EE"/>
    <w:rsid w:val="00B57FE8"/>
    <w:rsid w:val="00B61A5E"/>
    <w:rsid w:val="00B62444"/>
    <w:rsid w:val="00B639CF"/>
    <w:rsid w:val="00B6407B"/>
    <w:rsid w:val="00B64200"/>
    <w:rsid w:val="00B65A13"/>
    <w:rsid w:val="00B66972"/>
    <w:rsid w:val="00B66A99"/>
    <w:rsid w:val="00B70591"/>
    <w:rsid w:val="00B7100E"/>
    <w:rsid w:val="00B72ADC"/>
    <w:rsid w:val="00B72F7A"/>
    <w:rsid w:val="00B73477"/>
    <w:rsid w:val="00B753A9"/>
    <w:rsid w:val="00B75588"/>
    <w:rsid w:val="00B759FF"/>
    <w:rsid w:val="00B802DA"/>
    <w:rsid w:val="00B80B5B"/>
    <w:rsid w:val="00B8530A"/>
    <w:rsid w:val="00B85585"/>
    <w:rsid w:val="00B9424E"/>
    <w:rsid w:val="00BA030C"/>
    <w:rsid w:val="00BA0A91"/>
    <w:rsid w:val="00BA28CF"/>
    <w:rsid w:val="00BA3ED2"/>
    <w:rsid w:val="00BB0270"/>
    <w:rsid w:val="00BB0FA5"/>
    <w:rsid w:val="00BB389D"/>
    <w:rsid w:val="00BB4CB6"/>
    <w:rsid w:val="00BB50F3"/>
    <w:rsid w:val="00BC0509"/>
    <w:rsid w:val="00BC3BCB"/>
    <w:rsid w:val="00BC4B22"/>
    <w:rsid w:val="00BC548D"/>
    <w:rsid w:val="00BC6E54"/>
    <w:rsid w:val="00BD0AE2"/>
    <w:rsid w:val="00BD1A92"/>
    <w:rsid w:val="00BD1C35"/>
    <w:rsid w:val="00BD2D0B"/>
    <w:rsid w:val="00BD33AE"/>
    <w:rsid w:val="00BD4611"/>
    <w:rsid w:val="00BD5D6F"/>
    <w:rsid w:val="00BD6F36"/>
    <w:rsid w:val="00BE0787"/>
    <w:rsid w:val="00BE0B5B"/>
    <w:rsid w:val="00BE328A"/>
    <w:rsid w:val="00BF1288"/>
    <w:rsid w:val="00BF16BA"/>
    <w:rsid w:val="00BF455F"/>
    <w:rsid w:val="00BF45EB"/>
    <w:rsid w:val="00BF6A83"/>
    <w:rsid w:val="00BF6EE2"/>
    <w:rsid w:val="00BF77C2"/>
    <w:rsid w:val="00C00C80"/>
    <w:rsid w:val="00C042DC"/>
    <w:rsid w:val="00C051B0"/>
    <w:rsid w:val="00C077ED"/>
    <w:rsid w:val="00C11216"/>
    <w:rsid w:val="00C11A30"/>
    <w:rsid w:val="00C11FFE"/>
    <w:rsid w:val="00C12AFC"/>
    <w:rsid w:val="00C12BB1"/>
    <w:rsid w:val="00C13136"/>
    <w:rsid w:val="00C13691"/>
    <w:rsid w:val="00C14E91"/>
    <w:rsid w:val="00C16952"/>
    <w:rsid w:val="00C16A58"/>
    <w:rsid w:val="00C178A4"/>
    <w:rsid w:val="00C21224"/>
    <w:rsid w:val="00C226D3"/>
    <w:rsid w:val="00C22C45"/>
    <w:rsid w:val="00C23172"/>
    <w:rsid w:val="00C23DBC"/>
    <w:rsid w:val="00C2440C"/>
    <w:rsid w:val="00C25359"/>
    <w:rsid w:val="00C270D1"/>
    <w:rsid w:val="00C27306"/>
    <w:rsid w:val="00C3069A"/>
    <w:rsid w:val="00C324D4"/>
    <w:rsid w:val="00C32BB4"/>
    <w:rsid w:val="00C34DF4"/>
    <w:rsid w:val="00C3682E"/>
    <w:rsid w:val="00C417F2"/>
    <w:rsid w:val="00C43AE9"/>
    <w:rsid w:val="00C44AB2"/>
    <w:rsid w:val="00C44FEE"/>
    <w:rsid w:val="00C462ED"/>
    <w:rsid w:val="00C47DFF"/>
    <w:rsid w:val="00C5313B"/>
    <w:rsid w:val="00C5439D"/>
    <w:rsid w:val="00C559B2"/>
    <w:rsid w:val="00C55C2C"/>
    <w:rsid w:val="00C566FD"/>
    <w:rsid w:val="00C6033F"/>
    <w:rsid w:val="00C603A6"/>
    <w:rsid w:val="00C60940"/>
    <w:rsid w:val="00C62A42"/>
    <w:rsid w:val="00C62E0B"/>
    <w:rsid w:val="00C62ECE"/>
    <w:rsid w:val="00C63F0B"/>
    <w:rsid w:val="00C64112"/>
    <w:rsid w:val="00C6427F"/>
    <w:rsid w:val="00C64883"/>
    <w:rsid w:val="00C64957"/>
    <w:rsid w:val="00C667ED"/>
    <w:rsid w:val="00C66FD0"/>
    <w:rsid w:val="00C67644"/>
    <w:rsid w:val="00C71D0C"/>
    <w:rsid w:val="00C7284E"/>
    <w:rsid w:val="00C738F0"/>
    <w:rsid w:val="00C74296"/>
    <w:rsid w:val="00C74830"/>
    <w:rsid w:val="00C75617"/>
    <w:rsid w:val="00C75809"/>
    <w:rsid w:val="00C7657B"/>
    <w:rsid w:val="00C768CD"/>
    <w:rsid w:val="00C81096"/>
    <w:rsid w:val="00C81C38"/>
    <w:rsid w:val="00C82406"/>
    <w:rsid w:val="00C83267"/>
    <w:rsid w:val="00C834FA"/>
    <w:rsid w:val="00C83BFD"/>
    <w:rsid w:val="00C85366"/>
    <w:rsid w:val="00C87764"/>
    <w:rsid w:val="00C91BAC"/>
    <w:rsid w:val="00C91CA5"/>
    <w:rsid w:val="00C937E2"/>
    <w:rsid w:val="00C958E2"/>
    <w:rsid w:val="00CA0425"/>
    <w:rsid w:val="00CA073F"/>
    <w:rsid w:val="00CA4862"/>
    <w:rsid w:val="00CA5A07"/>
    <w:rsid w:val="00CA6B4E"/>
    <w:rsid w:val="00CB0202"/>
    <w:rsid w:val="00CB19DF"/>
    <w:rsid w:val="00CB211E"/>
    <w:rsid w:val="00CB4638"/>
    <w:rsid w:val="00CB5F42"/>
    <w:rsid w:val="00CB5FE4"/>
    <w:rsid w:val="00CB657E"/>
    <w:rsid w:val="00CC04A8"/>
    <w:rsid w:val="00CC1462"/>
    <w:rsid w:val="00CC155F"/>
    <w:rsid w:val="00CC1E1D"/>
    <w:rsid w:val="00CC3395"/>
    <w:rsid w:val="00CC3F95"/>
    <w:rsid w:val="00CC416C"/>
    <w:rsid w:val="00CC4325"/>
    <w:rsid w:val="00CC57BB"/>
    <w:rsid w:val="00CC6F89"/>
    <w:rsid w:val="00CD1914"/>
    <w:rsid w:val="00CD1CA4"/>
    <w:rsid w:val="00CD2EB4"/>
    <w:rsid w:val="00CD5893"/>
    <w:rsid w:val="00CD629E"/>
    <w:rsid w:val="00CD630C"/>
    <w:rsid w:val="00CE0504"/>
    <w:rsid w:val="00CE0713"/>
    <w:rsid w:val="00CE14CB"/>
    <w:rsid w:val="00CE501F"/>
    <w:rsid w:val="00CF0517"/>
    <w:rsid w:val="00CF081E"/>
    <w:rsid w:val="00CF22FA"/>
    <w:rsid w:val="00CF3C0A"/>
    <w:rsid w:val="00CF59D6"/>
    <w:rsid w:val="00CF7505"/>
    <w:rsid w:val="00D00D35"/>
    <w:rsid w:val="00D01045"/>
    <w:rsid w:val="00D01977"/>
    <w:rsid w:val="00D01B67"/>
    <w:rsid w:val="00D0200F"/>
    <w:rsid w:val="00D0219C"/>
    <w:rsid w:val="00D02531"/>
    <w:rsid w:val="00D07FC6"/>
    <w:rsid w:val="00D07FEB"/>
    <w:rsid w:val="00D101F5"/>
    <w:rsid w:val="00D11C14"/>
    <w:rsid w:val="00D12532"/>
    <w:rsid w:val="00D12881"/>
    <w:rsid w:val="00D12AA4"/>
    <w:rsid w:val="00D13D1E"/>
    <w:rsid w:val="00D149B8"/>
    <w:rsid w:val="00D14CDF"/>
    <w:rsid w:val="00D15289"/>
    <w:rsid w:val="00D17E92"/>
    <w:rsid w:val="00D203F8"/>
    <w:rsid w:val="00D22457"/>
    <w:rsid w:val="00D22F63"/>
    <w:rsid w:val="00D307F1"/>
    <w:rsid w:val="00D31911"/>
    <w:rsid w:val="00D32526"/>
    <w:rsid w:val="00D327D1"/>
    <w:rsid w:val="00D331FC"/>
    <w:rsid w:val="00D35E43"/>
    <w:rsid w:val="00D4001A"/>
    <w:rsid w:val="00D44AE4"/>
    <w:rsid w:val="00D45958"/>
    <w:rsid w:val="00D469B2"/>
    <w:rsid w:val="00D47183"/>
    <w:rsid w:val="00D4727A"/>
    <w:rsid w:val="00D4749B"/>
    <w:rsid w:val="00D47CD3"/>
    <w:rsid w:val="00D47EFC"/>
    <w:rsid w:val="00D505DB"/>
    <w:rsid w:val="00D5359F"/>
    <w:rsid w:val="00D5478F"/>
    <w:rsid w:val="00D556E2"/>
    <w:rsid w:val="00D55E39"/>
    <w:rsid w:val="00D55FF3"/>
    <w:rsid w:val="00D5657B"/>
    <w:rsid w:val="00D56B59"/>
    <w:rsid w:val="00D6180F"/>
    <w:rsid w:val="00D639E8"/>
    <w:rsid w:val="00D6445C"/>
    <w:rsid w:val="00D64705"/>
    <w:rsid w:val="00D6482B"/>
    <w:rsid w:val="00D652FF"/>
    <w:rsid w:val="00D65E15"/>
    <w:rsid w:val="00D667F6"/>
    <w:rsid w:val="00D7254A"/>
    <w:rsid w:val="00D728C1"/>
    <w:rsid w:val="00D7472D"/>
    <w:rsid w:val="00D756AA"/>
    <w:rsid w:val="00D75AF5"/>
    <w:rsid w:val="00D76729"/>
    <w:rsid w:val="00D7779C"/>
    <w:rsid w:val="00D77A7E"/>
    <w:rsid w:val="00D77F80"/>
    <w:rsid w:val="00D81B8B"/>
    <w:rsid w:val="00D8310A"/>
    <w:rsid w:val="00D835E8"/>
    <w:rsid w:val="00D851F5"/>
    <w:rsid w:val="00D860A1"/>
    <w:rsid w:val="00D86248"/>
    <w:rsid w:val="00D86D52"/>
    <w:rsid w:val="00D91CAA"/>
    <w:rsid w:val="00D92504"/>
    <w:rsid w:val="00D92C5C"/>
    <w:rsid w:val="00D934A1"/>
    <w:rsid w:val="00D950C6"/>
    <w:rsid w:val="00D954ED"/>
    <w:rsid w:val="00D96D52"/>
    <w:rsid w:val="00D97CA9"/>
    <w:rsid w:val="00D97DEE"/>
    <w:rsid w:val="00DA0AE1"/>
    <w:rsid w:val="00DA12E5"/>
    <w:rsid w:val="00DA3838"/>
    <w:rsid w:val="00DA5E17"/>
    <w:rsid w:val="00DA7F80"/>
    <w:rsid w:val="00DB0463"/>
    <w:rsid w:val="00DB0F75"/>
    <w:rsid w:val="00DB1F9A"/>
    <w:rsid w:val="00DB4064"/>
    <w:rsid w:val="00DB4559"/>
    <w:rsid w:val="00DB45C3"/>
    <w:rsid w:val="00DB4D8F"/>
    <w:rsid w:val="00DB51A9"/>
    <w:rsid w:val="00DB5690"/>
    <w:rsid w:val="00DB7986"/>
    <w:rsid w:val="00DC01DC"/>
    <w:rsid w:val="00DC025D"/>
    <w:rsid w:val="00DC355B"/>
    <w:rsid w:val="00DC3C2C"/>
    <w:rsid w:val="00DC3F31"/>
    <w:rsid w:val="00DC5350"/>
    <w:rsid w:val="00DC5ADF"/>
    <w:rsid w:val="00DC6AB4"/>
    <w:rsid w:val="00DD1B2A"/>
    <w:rsid w:val="00DD2C72"/>
    <w:rsid w:val="00DD388D"/>
    <w:rsid w:val="00DD3B4F"/>
    <w:rsid w:val="00DD4293"/>
    <w:rsid w:val="00DD7E50"/>
    <w:rsid w:val="00DE2A98"/>
    <w:rsid w:val="00DE3BC2"/>
    <w:rsid w:val="00DE3BF6"/>
    <w:rsid w:val="00DE524F"/>
    <w:rsid w:val="00DE6A50"/>
    <w:rsid w:val="00DE6D23"/>
    <w:rsid w:val="00DE723B"/>
    <w:rsid w:val="00DF2DA6"/>
    <w:rsid w:val="00DF4462"/>
    <w:rsid w:val="00DF5D6B"/>
    <w:rsid w:val="00DF7ACC"/>
    <w:rsid w:val="00E00176"/>
    <w:rsid w:val="00E00645"/>
    <w:rsid w:val="00E00967"/>
    <w:rsid w:val="00E012A8"/>
    <w:rsid w:val="00E014E7"/>
    <w:rsid w:val="00E02242"/>
    <w:rsid w:val="00E02868"/>
    <w:rsid w:val="00E06A6B"/>
    <w:rsid w:val="00E07CA8"/>
    <w:rsid w:val="00E10163"/>
    <w:rsid w:val="00E1349C"/>
    <w:rsid w:val="00E140C6"/>
    <w:rsid w:val="00E147C2"/>
    <w:rsid w:val="00E177C0"/>
    <w:rsid w:val="00E21EA9"/>
    <w:rsid w:val="00E22172"/>
    <w:rsid w:val="00E25D1F"/>
    <w:rsid w:val="00E2721A"/>
    <w:rsid w:val="00E30FE8"/>
    <w:rsid w:val="00E314DB"/>
    <w:rsid w:val="00E32AE7"/>
    <w:rsid w:val="00E378F3"/>
    <w:rsid w:val="00E37DC2"/>
    <w:rsid w:val="00E41AE2"/>
    <w:rsid w:val="00E41D9D"/>
    <w:rsid w:val="00E425B8"/>
    <w:rsid w:val="00E44805"/>
    <w:rsid w:val="00E44914"/>
    <w:rsid w:val="00E47300"/>
    <w:rsid w:val="00E5201D"/>
    <w:rsid w:val="00E53041"/>
    <w:rsid w:val="00E5304C"/>
    <w:rsid w:val="00E532B9"/>
    <w:rsid w:val="00E53F7E"/>
    <w:rsid w:val="00E54EBF"/>
    <w:rsid w:val="00E631D7"/>
    <w:rsid w:val="00E65D29"/>
    <w:rsid w:val="00E66BC4"/>
    <w:rsid w:val="00E66BDA"/>
    <w:rsid w:val="00E67C07"/>
    <w:rsid w:val="00E70A3B"/>
    <w:rsid w:val="00E71439"/>
    <w:rsid w:val="00E72842"/>
    <w:rsid w:val="00E72958"/>
    <w:rsid w:val="00E7332C"/>
    <w:rsid w:val="00E73B7B"/>
    <w:rsid w:val="00E7443D"/>
    <w:rsid w:val="00E75527"/>
    <w:rsid w:val="00E755D1"/>
    <w:rsid w:val="00E7666F"/>
    <w:rsid w:val="00E76AFE"/>
    <w:rsid w:val="00E7734C"/>
    <w:rsid w:val="00E82933"/>
    <w:rsid w:val="00E82DCE"/>
    <w:rsid w:val="00E8612C"/>
    <w:rsid w:val="00E86736"/>
    <w:rsid w:val="00E8754D"/>
    <w:rsid w:val="00E903BE"/>
    <w:rsid w:val="00E917DE"/>
    <w:rsid w:val="00E91859"/>
    <w:rsid w:val="00E91C9C"/>
    <w:rsid w:val="00E91D8F"/>
    <w:rsid w:val="00E92B24"/>
    <w:rsid w:val="00E934B7"/>
    <w:rsid w:val="00E9405D"/>
    <w:rsid w:val="00E95907"/>
    <w:rsid w:val="00E95C18"/>
    <w:rsid w:val="00E96F3E"/>
    <w:rsid w:val="00EA07C1"/>
    <w:rsid w:val="00EA12FA"/>
    <w:rsid w:val="00EA36E5"/>
    <w:rsid w:val="00EA5C31"/>
    <w:rsid w:val="00EB0578"/>
    <w:rsid w:val="00EB0C96"/>
    <w:rsid w:val="00EB4121"/>
    <w:rsid w:val="00EB43D4"/>
    <w:rsid w:val="00EB5608"/>
    <w:rsid w:val="00EB5BDB"/>
    <w:rsid w:val="00EB6254"/>
    <w:rsid w:val="00EB6718"/>
    <w:rsid w:val="00EB6EB1"/>
    <w:rsid w:val="00EB7471"/>
    <w:rsid w:val="00EC0B09"/>
    <w:rsid w:val="00EC1A80"/>
    <w:rsid w:val="00ED373C"/>
    <w:rsid w:val="00ED3E28"/>
    <w:rsid w:val="00ED544D"/>
    <w:rsid w:val="00EE0911"/>
    <w:rsid w:val="00EE17CF"/>
    <w:rsid w:val="00EE17FC"/>
    <w:rsid w:val="00EE5EAC"/>
    <w:rsid w:val="00EE698F"/>
    <w:rsid w:val="00EE7BD2"/>
    <w:rsid w:val="00EE7E3B"/>
    <w:rsid w:val="00EF1E1B"/>
    <w:rsid w:val="00EF4B86"/>
    <w:rsid w:val="00EF7E27"/>
    <w:rsid w:val="00F01936"/>
    <w:rsid w:val="00F01F4B"/>
    <w:rsid w:val="00F02592"/>
    <w:rsid w:val="00F02B7D"/>
    <w:rsid w:val="00F0344E"/>
    <w:rsid w:val="00F034E4"/>
    <w:rsid w:val="00F03BD1"/>
    <w:rsid w:val="00F05828"/>
    <w:rsid w:val="00F11EFB"/>
    <w:rsid w:val="00F121B6"/>
    <w:rsid w:val="00F13098"/>
    <w:rsid w:val="00F132C0"/>
    <w:rsid w:val="00F15913"/>
    <w:rsid w:val="00F17717"/>
    <w:rsid w:val="00F2060C"/>
    <w:rsid w:val="00F20920"/>
    <w:rsid w:val="00F21CF8"/>
    <w:rsid w:val="00F2420C"/>
    <w:rsid w:val="00F25A93"/>
    <w:rsid w:val="00F30856"/>
    <w:rsid w:val="00F333E7"/>
    <w:rsid w:val="00F338E8"/>
    <w:rsid w:val="00F359A9"/>
    <w:rsid w:val="00F3701B"/>
    <w:rsid w:val="00F37150"/>
    <w:rsid w:val="00F413C1"/>
    <w:rsid w:val="00F44310"/>
    <w:rsid w:val="00F450C8"/>
    <w:rsid w:val="00F4761F"/>
    <w:rsid w:val="00F476F6"/>
    <w:rsid w:val="00F50444"/>
    <w:rsid w:val="00F50935"/>
    <w:rsid w:val="00F50BDC"/>
    <w:rsid w:val="00F50F04"/>
    <w:rsid w:val="00F510FC"/>
    <w:rsid w:val="00F527FE"/>
    <w:rsid w:val="00F52A42"/>
    <w:rsid w:val="00F537E5"/>
    <w:rsid w:val="00F550DE"/>
    <w:rsid w:val="00F556EE"/>
    <w:rsid w:val="00F56034"/>
    <w:rsid w:val="00F5629C"/>
    <w:rsid w:val="00F56644"/>
    <w:rsid w:val="00F606D6"/>
    <w:rsid w:val="00F618A9"/>
    <w:rsid w:val="00F6232F"/>
    <w:rsid w:val="00F66160"/>
    <w:rsid w:val="00F66EA4"/>
    <w:rsid w:val="00F702FE"/>
    <w:rsid w:val="00F70BC0"/>
    <w:rsid w:val="00F74975"/>
    <w:rsid w:val="00F75994"/>
    <w:rsid w:val="00F75AA4"/>
    <w:rsid w:val="00F760C8"/>
    <w:rsid w:val="00F80BEE"/>
    <w:rsid w:val="00F81359"/>
    <w:rsid w:val="00F81927"/>
    <w:rsid w:val="00F81E70"/>
    <w:rsid w:val="00F82813"/>
    <w:rsid w:val="00F8418B"/>
    <w:rsid w:val="00F90C09"/>
    <w:rsid w:val="00F90F66"/>
    <w:rsid w:val="00F9171F"/>
    <w:rsid w:val="00F960B4"/>
    <w:rsid w:val="00F9673C"/>
    <w:rsid w:val="00F96936"/>
    <w:rsid w:val="00F96AC0"/>
    <w:rsid w:val="00FA15F6"/>
    <w:rsid w:val="00FA1A17"/>
    <w:rsid w:val="00FA2126"/>
    <w:rsid w:val="00FA235F"/>
    <w:rsid w:val="00FA3C75"/>
    <w:rsid w:val="00FA4A0A"/>
    <w:rsid w:val="00FA6567"/>
    <w:rsid w:val="00FA6C9D"/>
    <w:rsid w:val="00FA76A3"/>
    <w:rsid w:val="00FA7943"/>
    <w:rsid w:val="00FB1E52"/>
    <w:rsid w:val="00FB1E5C"/>
    <w:rsid w:val="00FB3171"/>
    <w:rsid w:val="00FB3EF2"/>
    <w:rsid w:val="00FB49AA"/>
    <w:rsid w:val="00FB4AA4"/>
    <w:rsid w:val="00FB737A"/>
    <w:rsid w:val="00FC004F"/>
    <w:rsid w:val="00FC0635"/>
    <w:rsid w:val="00FC18BC"/>
    <w:rsid w:val="00FC2954"/>
    <w:rsid w:val="00FC3888"/>
    <w:rsid w:val="00FC414F"/>
    <w:rsid w:val="00FC459D"/>
    <w:rsid w:val="00FC4A47"/>
    <w:rsid w:val="00FC728C"/>
    <w:rsid w:val="00FD05CF"/>
    <w:rsid w:val="00FD076A"/>
    <w:rsid w:val="00FD1F23"/>
    <w:rsid w:val="00FD2581"/>
    <w:rsid w:val="00FD582A"/>
    <w:rsid w:val="00FD607F"/>
    <w:rsid w:val="00FD6183"/>
    <w:rsid w:val="00FD7B9C"/>
    <w:rsid w:val="00FE1EAB"/>
    <w:rsid w:val="00FE3241"/>
    <w:rsid w:val="00FE3BA8"/>
    <w:rsid w:val="00FE48D0"/>
    <w:rsid w:val="00FE5F8E"/>
    <w:rsid w:val="00FF0A62"/>
    <w:rsid w:val="00FF19FC"/>
    <w:rsid w:val="00FF2C89"/>
    <w:rsid w:val="00FF3AB7"/>
    <w:rsid w:val="00FF3B4B"/>
    <w:rsid w:val="00FF51F8"/>
    <w:rsid w:val="00FF58BD"/>
    <w:rsid w:val="00FF6984"/>
    <w:rsid w:val="180CAD29"/>
    <w:rsid w:val="28CF183D"/>
    <w:rsid w:val="3562652B"/>
    <w:rsid w:val="3D0D7901"/>
    <w:rsid w:val="444A705B"/>
    <w:rsid w:val="5F9CBE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14:docId w14:val="6046EA47"/>
  <w15:docId w15:val="{E478EC98-FAC9-48DF-90B0-E08AA5593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Arial"/>
        <w:color w:val="C00000" w:themeColor="hyperlink"/>
        <w:kern w:val="20"/>
        <w:sz w:val="22"/>
        <w:u w:val="single"/>
        <w:lang w:val="en-US" w:eastAsia="ja-JP" w:bidi="ar-SA"/>
      </w:rPr>
    </w:rPrDefault>
    <w:pPrDefault>
      <w:pPr>
        <w:spacing w:before="120" w:after="120"/>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8" w:unhideWhenUsed="1" w:qFormat="1"/>
    <w:lsdException w:name="heading 5" w:semiHidden="1" w:uiPriority="1" w:unhideWhenUsed="1" w:qFormat="1"/>
    <w:lsdException w:name="heading 6" w:semiHidden="1" w:uiPriority="18" w:unhideWhenUsed="1" w:qFormat="1"/>
    <w:lsdException w:name="heading 7" w:semiHidden="1" w:uiPriority="18" w:unhideWhenUsed="1" w:qFormat="1"/>
    <w:lsdException w:name="heading 8" w:semiHidden="1" w:uiPriority="18" w:unhideWhenUsed="1" w:qFormat="1"/>
    <w:lsdException w:name="heading 9" w:semiHidden="1" w:uiPriority="1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 w:unhideWhenUsed="1" w:qFormat="1"/>
    <w:lsdException w:name="List Number 3" w:semiHidden="1" w:uiPriority="18" w:unhideWhenUsed="1" w:qFormat="1"/>
    <w:lsdException w:name="List Number 4" w:semiHidden="1" w:uiPriority="18" w:unhideWhenUsed="1"/>
    <w:lsdException w:name="List Number 5" w:semiHidden="1" w:uiPriority="18" w:unhideWhenUsed="1"/>
    <w:lsdException w:name="Title" w:uiPriority="19" w:qFormat="1"/>
    <w:lsdException w:name="Closing" w:semiHidden="1" w:unhideWhenUsed="1"/>
    <w:lsdException w:name="Signature" w:semiHidden="1" w:uiPriority="9" w:unhideWhenUsed="1" w:qFormat="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9"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D617A"/>
    <w:rPr>
      <w:rFonts w:ascii="Arial" w:hAnsi="Arial"/>
      <w:color w:val="auto"/>
      <w:u w:val="none"/>
      <w:lang w:val="en-AU"/>
    </w:rPr>
  </w:style>
  <w:style w:type="paragraph" w:styleId="Heading1">
    <w:name w:val="heading 1"/>
    <w:basedOn w:val="HeaderShaded"/>
    <w:next w:val="Normal"/>
    <w:link w:val="Heading1Char"/>
    <w:uiPriority w:val="1"/>
    <w:qFormat/>
    <w:rsid w:val="00043C2B"/>
    <w:pPr>
      <w:pBdr>
        <w:top w:val="single" w:sz="2" w:space="2" w:color="8A002E"/>
        <w:left w:val="single" w:sz="2" w:space="6" w:color="8A002E"/>
        <w:bottom w:val="single" w:sz="2" w:space="2" w:color="8A002E"/>
        <w:right w:val="single" w:sz="2" w:space="6" w:color="8A002E"/>
      </w:pBdr>
      <w:shd w:val="clear" w:color="auto" w:fill="AB054C"/>
      <w:spacing w:before="240" w:after="240"/>
      <w:outlineLvl w:val="0"/>
    </w:pPr>
    <w:rPr>
      <w:rFonts w:ascii="Arial" w:eastAsia="Times New Roman" w:hAnsi="Arial"/>
      <w:caps w:val="0"/>
    </w:rPr>
  </w:style>
  <w:style w:type="paragraph" w:styleId="Heading2">
    <w:name w:val="heading 2"/>
    <w:basedOn w:val="Normal"/>
    <w:next w:val="Normal"/>
    <w:link w:val="Heading2Char"/>
    <w:autoRedefine/>
    <w:uiPriority w:val="1"/>
    <w:unhideWhenUsed/>
    <w:qFormat/>
    <w:rsid w:val="009D6B00"/>
    <w:pPr>
      <w:keepNext/>
      <w:keepLines/>
      <w:spacing w:before="0" w:after="240"/>
      <w:ind w:left="-142"/>
      <w:outlineLvl w:val="1"/>
    </w:pPr>
    <w:rPr>
      <w:rFonts w:ascii="Arial Bold" w:eastAsia="Times New Roman" w:hAnsi="Arial Bold"/>
      <w:b/>
      <w:bCs/>
      <w:color w:val="AB054C"/>
      <w:sz w:val="36"/>
      <w:szCs w:val="28"/>
      <w14:ligatures w14:val="standardContextual"/>
    </w:rPr>
  </w:style>
  <w:style w:type="paragraph" w:styleId="Heading3">
    <w:name w:val="heading 3"/>
    <w:basedOn w:val="Normal"/>
    <w:next w:val="Normal"/>
    <w:link w:val="Heading3Char"/>
    <w:autoRedefine/>
    <w:uiPriority w:val="1"/>
    <w:unhideWhenUsed/>
    <w:qFormat/>
    <w:rsid w:val="006D0FF1"/>
    <w:pPr>
      <w:keepNext/>
      <w:keepLines/>
      <w:spacing w:before="240"/>
      <w:ind w:hanging="142"/>
      <w:outlineLvl w:val="2"/>
    </w:pPr>
    <w:rPr>
      <w:rFonts w:eastAsia="Calibri"/>
      <w:b/>
      <w:bCs/>
      <w:sz w:val="32"/>
      <w:szCs w:val="32"/>
      <w14:ligatures w14:val="standardContextual"/>
    </w:rPr>
  </w:style>
  <w:style w:type="paragraph" w:styleId="Heading4">
    <w:name w:val="heading 4"/>
    <w:basedOn w:val="Normal"/>
    <w:next w:val="Normal"/>
    <w:link w:val="Heading4Char"/>
    <w:uiPriority w:val="18"/>
    <w:unhideWhenUsed/>
    <w:qFormat/>
    <w:rsid w:val="008258DF"/>
    <w:pPr>
      <w:keepNext/>
      <w:keepLines/>
      <w:shd w:val="clear" w:color="auto" w:fill="AB054C"/>
      <w:spacing w:before="0" w:after="0"/>
      <w:outlineLvl w:val="3"/>
    </w:pPr>
    <w:rPr>
      <w:rFonts w:eastAsiaTheme="majorEastAsia" w:cstheme="majorBidi"/>
      <w:bCs/>
      <w:iCs/>
      <w:color w:val="FFFFFF" w:themeColor="background1"/>
      <w:sz w:val="36"/>
    </w:rPr>
  </w:style>
  <w:style w:type="paragraph" w:styleId="Heading5">
    <w:name w:val="heading 5"/>
    <w:basedOn w:val="Normal"/>
    <w:next w:val="Normal"/>
    <w:link w:val="Heading5Char"/>
    <w:uiPriority w:val="1"/>
    <w:unhideWhenUsed/>
    <w:qFormat/>
    <w:pPr>
      <w:keepNext/>
      <w:keepLines/>
      <w:spacing w:before="200" w:after="0"/>
      <w:outlineLvl w:val="4"/>
    </w:pPr>
    <w:rPr>
      <w:rFonts w:asciiTheme="majorHAnsi" w:eastAsiaTheme="majorEastAsia" w:hAnsiTheme="majorHAnsi" w:cstheme="majorBidi"/>
      <w:color w:val="000000" w:themeColor="accent1" w:themeShade="7F"/>
    </w:rPr>
  </w:style>
  <w:style w:type="paragraph" w:styleId="Heading6">
    <w:name w:val="heading 6"/>
    <w:basedOn w:val="Normal"/>
    <w:next w:val="Normal"/>
    <w:link w:val="Heading6Char"/>
    <w:uiPriority w:val="18"/>
    <w:semiHidden/>
    <w:unhideWhenUsed/>
    <w:qFormat/>
    <w:pPr>
      <w:keepNext/>
      <w:keepLines/>
      <w:spacing w:before="200" w:after="0"/>
      <w:outlineLvl w:val="5"/>
    </w:pPr>
    <w:rPr>
      <w:rFonts w:asciiTheme="majorHAnsi" w:eastAsiaTheme="majorEastAsia" w:hAnsiTheme="majorHAnsi" w:cstheme="majorBidi"/>
      <w:i/>
      <w:iCs/>
      <w:color w:val="000000" w:themeColor="accent1" w:themeShade="7F"/>
    </w:rPr>
  </w:style>
  <w:style w:type="paragraph" w:styleId="Heading7">
    <w:name w:val="heading 7"/>
    <w:basedOn w:val="Normal"/>
    <w:next w:val="Normal"/>
    <w:link w:val="Heading7Char"/>
    <w:uiPriority w:val="18"/>
    <w:semiHidden/>
    <w:unhideWhenUsed/>
    <w:qFormat/>
    <w:pPr>
      <w:keepNext/>
      <w:keepLines/>
      <w:spacing w:before="200" w:after="0"/>
      <w:outlineLvl w:val="6"/>
    </w:pPr>
    <w:rPr>
      <w:rFonts w:asciiTheme="majorHAnsi" w:eastAsiaTheme="majorEastAsia" w:hAnsiTheme="majorHAnsi" w:cstheme="majorBidi"/>
      <w:i/>
      <w:iCs/>
      <w:color w:val="FFFFFF" w:themeColor="text1" w:themeTint="BF"/>
    </w:rPr>
  </w:style>
  <w:style w:type="paragraph" w:styleId="Heading8">
    <w:name w:val="heading 8"/>
    <w:basedOn w:val="Normal"/>
    <w:next w:val="Normal"/>
    <w:link w:val="Heading8Char"/>
    <w:uiPriority w:val="18"/>
    <w:semiHidden/>
    <w:unhideWhenUsed/>
    <w:qFormat/>
    <w:pPr>
      <w:keepNext/>
      <w:keepLines/>
      <w:spacing w:before="200" w:after="0"/>
      <w:outlineLvl w:val="7"/>
    </w:pPr>
    <w:rPr>
      <w:rFonts w:asciiTheme="majorHAnsi" w:eastAsiaTheme="majorEastAsia" w:hAnsiTheme="majorHAnsi" w:cstheme="majorBidi"/>
      <w:color w:val="FFFFFF" w:themeColor="text1" w:themeTint="BF"/>
    </w:rPr>
  </w:style>
  <w:style w:type="paragraph" w:styleId="Heading9">
    <w:name w:val="heading 9"/>
    <w:basedOn w:val="Normal"/>
    <w:next w:val="Normal"/>
    <w:link w:val="Heading9Char"/>
    <w:uiPriority w:val="18"/>
    <w:semiHidden/>
    <w:unhideWhenUsed/>
    <w:qFormat/>
    <w:pPr>
      <w:keepNext/>
      <w:keepLines/>
      <w:spacing w:before="200" w:after="0"/>
      <w:outlineLvl w:val="8"/>
    </w:pPr>
    <w:rPr>
      <w:rFonts w:asciiTheme="majorHAnsi" w:eastAsiaTheme="majorEastAsia" w:hAnsiTheme="majorHAnsi" w:cstheme="majorBidi"/>
      <w:i/>
      <w:iCs/>
      <w:color w:val="FFFFFF"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pPr>
      <w:tabs>
        <w:tab w:val="center" w:pos="4680"/>
        <w:tab w:val="right" w:pos="9360"/>
      </w:tabs>
      <w:spacing w:before="0" w:after="0"/>
    </w:pPr>
  </w:style>
  <w:style w:type="character" w:customStyle="1" w:styleId="HeaderChar">
    <w:name w:val="Header Char"/>
    <w:basedOn w:val="DefaultParagraphFont"/>
    <w:link w:val="Header"/>
    <w:uiPriority w:val="99"/>
    <w:rPr>
      <w:kern w:val="20"/>
    </w:rPr>
  </w:style>
  <w:style w:type="paragraph" w:styleId="Footer">
    <w:name w:val="footer"/>
    <w:basedOn w:val="Normal"/>
    <w:link w:val="FooterChar"/>
    <w:uiPriority w:val="99"/>
    <w:unhideWhenUsed/>
    <w:pPr>
      <w:pBdr>
        <w:top w:val="single" w:sz="4" w:space="6" w:color="666666" w:themeColor="accent1" w:themeTint="99"/>
        <w:left w:val="single" w:sz="2" w:space="4" w:color="FFFFFF" w:themeColor="background1"/>
      </w:pBdr>
      <w:spacing w:after="0"/>
      <w:ind w:left="-360" w:right="-360"/>
    </w:pPr>
  </w:style>
  <w:style w:type="character" w:customStyle="1" w:styleId="FooterChar">
    <w:name w:val="Footer Char"/>
    <w:basedOn w:val="DefaultParagraphFont"/>
    <w:link w:val="Footer"/>
    <w:uiPriority w:val="99"/>
    <w:rPr>
      <w:kern w:val="20"/>
    </w:rPr>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pPr>
      <w:spacing w:after="0"/>
    </w:pPr>
  </w:style>
  <w:style w:type="paragraph" w:styleId="BalloonText">
    <w:name w:val="Balloon Text"/>
    <w:basedOn w:val="Normal"/>
    <w:link w:val="BalloonTextChar"/>
    <w:uiPriority w:val="99"/>
    <w:semiHidden/>
    <w:unhideWhenUsed/>
    <w:pPr>
      <w:spacing w:after="0"/>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customStyle="1" w:styleId="Heading1Char">
    <w:name w:val="Heading 1 Char"/>
    <w:basedOn w:val="DefaultParagraphFont"/>
    <w:link w:val="Heading1"/>
    <w:uiPriority w:val="1"/>
    <w:rsid w:val="00043C2B"/>
    <w:rPr>
      <w:rFonts w:ascii="Arial" w:eastAsia="Times New Roman" w:hAnsi="Arial" w:cstheme="majorBidi"/>
      <w:color w:val="FFFFFF" w:themeColor="background1"/>
      <w:sz w:val="48"/>
      <w:u w:val="none"/>
      <w:shd w:val="clear" w:color="auto" w:fill="AB054C"/>
    </w:rPr>
  </w:style>
  <w:style w:type="character" w:customStyle="1" w:styleId="Heading2Char">
    <w:name w:val="Heading 2 Char"/>
    <w:basedOn w:val="DefaultParagraphFont"/>
    <w:link w:val="Heading2"/>
    <w:uiPriority w:val="1"/>
    <w:rsid w:val="009D6B00"/>
    <w:rPr>
      <w:rFonts w:ascii="Arial Bold" w:eastAsia="Times New Roman" w:hAnsi="Arial Bold"/>
      <w:b/>
      <w:bCs/>
      <w:color w:val="AB054C"/>
      <w:sz w:val="36"/>
      <w:szCs w:val="28"/>
      <w:u w:val="none"/>
      <w:lang w:val="en-AU"/>
      <w14:ligatures w14:val="standardContextual"/>
    </w:rPr>
  </w:style>
  <w:style w:type="character" w:styleId="PlaceholderText">
    <w:name w:val="Placeholder Text"/>
    <w:basedOn w:val="DefaultParagraphFont"/>
    <w:uiPriority w:val="99"/>
    <w:semiHidden/>
    <w:rPr>
      <w:color w:val="808080"/>
    </w:rPr>
  </w:style>
  <w:style w:type="paragraph" w:styleId="Quote">
    <w:name w:val="Quote"/>
    <w:basedOn w:val="Normal"/>
    <w:next w:val="Normal"/>
    <w:link w:val="QuoteChar"/>
    <w:uiPriority w:val="9"/>
    <w:unhideWhenUsed/>
    <w:qFormat/>
    <w:pPr>
      <w:spacing w:before="240" w:after="240"/>
      <w:ind w:left="720" w:right="720"/>
    </w:pPr>
    <w:rPr>
      <w:i/>
      <w:iCs/>
      <w:color w:val="000000" w:themeColor="accent1"/>
      <w:sz w:val="28"/>
    </w:rPr>
  </w:style>
  <w:style w:type="character" w:customStyle="1" w:styleId="QuoteChar">
    <w:name w:val="Quote Char"/>
    <w:basedOn w:val="DefaultParagraphFont"/>
    <w:link w:val="Quote"/>
    <w:uiPriority w:val="9"/>
    <w:rPr>
      <w:i/>
      <w:iCs/>
      <w:color w:val="000000" w:themeColor="accent1"/>
      <w:kern w:val="20"/>
      <w:sz w:val="28"/>
    </w:rPr>
  </w:style>
  <w:style w:type="paragraph" w:styleId="Bibliography">
    <w:name w:val="Bibliography"/>
    <w:basedOn w:val="Normal"/>
    <w:next w:val="Normal"/>
    <w:uiPriority w:val="37"/>
    <w:semiHidden/>
    <w:unhideWhenUsed/>
  </w:style>
  <w:style w:type="paragraph" w:styleId="BlockText">
    <w:name w:val="Block Text"/>
    <w:basedOn w:val="Normal"/>
    <w:uiPriority w:val="99"/>
    <w:semiHidden/>
    <w:unhideWhenUsed/>
    <w:pPr>
      <w:pBdr>
        <w:top w:val="single" w:sz="2" w:space="10" w:color="000000" w:themeColor="accent1" w:frame="1"/>
        <w:left w:val="single" w:sz="2" w:space="10" w:color="000000" w:themeColor="accent1" w:frame="1"/>
        <w:bottom w:val="single" w:sz="2" w:space="10" w:color="000000" w:themeColor="accent1" w:frame="1"/>
        <w:right w:val="single" w:sz="2" w:space="10" w:color="000000" w:themeColor="accent1" w:frame="1"/>
      </w:pBdr>
      <w:ind w:left="1152" w:right="1152"/>
    </w:pPr>
    <w:rPr>
      <w:i/>
      <w:iCs/>
      <w:color w:val="000000" w:themeColor="accent1"/>
    </w:rPr>
  </w:style>
  <w:style w:type="paragraph" w:styleId="BodyText">
    <w:name w:val="Body Text"/>
    <w:basedOn w:val="Normal"/>
    <w:link w:val="BodyTextChar"/>
    <w:uiPriority w:val="1"/>
    <w:unhideWhenUsed/>
    <w:qFormat/>
    <w:rsid w:val="00D31911"/>
  </w:style>
  <w:style w:type="character" w:customStyle="1" w:styleId="BodyTextChar">
    <w:name w:val="Body Text Char"/>
    <w:basedOn w:val="DefaultParagraphFont"/>
    <w:link w:val="BodyText"/>
    <w:uiPriority w:val="1"/>
    <w:rsid w:val="00D31911"/>
    <w:rPr>
      <w:rFonts w:ascii="Arial" w:hAnsi="Arial"/>
      <w:color w:val="auto"/>
      <w:u w:val="none"/>
    </w:rPr>
  </w:style>
  <w:style w:type="paragraph" w:styleId="BodyText2">
    <w:name w:val="Body Text 2"/>
    <w:basedOn w:val="Normal"/>
    <w:link w:val="BodyText2Char"/>
    <w:uiPriority w:val="99"/>
    <w:semiHidden/>
    <w:unhideWhenUsed/>
    <w:pPr>
      <w:spacing w:line="480" w:lineRule="auto"/>
    </w:pPr>
  </w:style>
  <w:style w:type="character" w:customStyle="1" w:styleId="BodyText2Char">
    <w:name w:val="Body Text 2 Char"/>
    <w:basedOn w:val="DefaultParagraphFont"/>
    <w:link w:val="BodyText2"/>
    <w:uiPriority w:val="99"/>
    <w:semiHidden/>
  </w:style>
  <w:style w:type="paragraph" w:styleId="BodyText3">
    <w:name w:val="Body Text 3"/>
    <w:basedOn w:val="Normal"/>
    <w:link w:val="BodyText3Char"/>
    <w:uiPriority w:val="99"/>
    <w:semiHidden/>
    <w:unhideWhenUsed/>
    <w:rPr>
      <w:sz w:val="16"/>
    </w:rPr>
  </w:style>
  <w:style w:type="character" w:customStyle="1" w:styleId="BodyText3Char">
    <w:name w:val="Body Text 3 Char"/>
    <w:basedOn w:val="DefaultParagraphFont"/>
    <w:link w:val="BodyText3"/>
    <w:uiPriority w:val="99"/>
    <w:semiHidden/>
    <w:rPr>
      <w:sz w:val="16"/>
    </w:rPr>
  </w:style>
  <w:style w:type="paragraph" w:styleId="BodyTextFirstIndent">
    <w:name w:val="Body Text First Indent"/>
    <w:basedOn w:val="BodyText"/>
    <w:link w:val="BodyTextFirstIndentChar"/>
    <w:uiPriority w:val="99"/>
    <w:semiHidden/>
    <w:unhideWhenUsed/>
    <w:pPr>
      <w:spacing w:after="200"/>
      <w:ind w:firstLine="360"/>
    </w:pPr>
  </w:style>
  <w:style w:type="character" w:customStyle="1" w:styleId="BodyTextFirstIndentChar">
    <w:name w:val="Body Text First Indent Char"/>
    <w:basedOn w:val="BodyTextChar"/>
    <w:link w:val="BodyTextFirstIndent"/>
    <w:uiPriority w:val="99"/>
    <w:semiHidden/>
    <w:rPr>
      <w:rFonts w:ascii="Times New Roman" w:hAnsi="Times New Roman"/>
      <w:color w:val="auto"/>
      <w:sz w:val="22"/>
      <w:u w:val="none"/>
    </w:rPr>
  </w:style>
  <w:style w:type="paragraph" w:styleId="BodyTextIndent">
    <w:name w:val="Body Text Indent"/>
    <w:basedOn w:val="Normal"/>
    <w:link w:val="BodyTextIndentChar"/>
    <w:uiPriority w:val="99"/>
    <w:semiHidden/>
    <w:unhideWhenUsed/>
    <w:pPr>
      <w:ind w:left="360"/>
    </w:pPr>
  </w:style>
  <w:style w:type="character" w:customStyle="1" w:styleId="BodyTextIndentChar">
    <w:name w:val="Body Text Indent Char"/>
    <w:basedOn w:val="DefaultParagraphFont"/>
    <w:link w:val="BodyTextIndent"/>
    <w:uiPriority w:val="99"/>
    <w:semiHidden/>
  </w:style>
  <w:style w:type="paragraph" w:styleId="BodyTextFirstIndent2">
    <w:name w:val="Body Text First Indent 2"/>
    <w:basedOn w:val="BodyTextIndent"/>
    <w:link w:val="BodyTextFirstIndent2Char"/>
    <w:uiPriority w:val="99"/>
    <w:semiHidden/>
    <w:unhideWhenUsed/>
    <w:pPr>
      <w:spacing w:after="200"/>
      <w:ind w:firstLine="360"/>
    </w:pPr>
  </w:style>
  <w:style w:type="character" w:customStyle="1" w:styleId="BodyTextFirstIndent2Char">
    <w:name w:val="Body Text First Indent 2 Char"/>
    <w:basedOn w:val="BodyTextIndentChar"/>
    <w:link w:val="BodyTextFirstIndent2"/>
    <w:uiPriority w:val="99"/>
    <w:semiHidden/>
  </w:style>
  <w:style w:type="paragraph" w:styleId="BodyTextIndent2">
    <w:name w:val="Body Text Indent 2"/>
    <w:basedOn w:val="Normal"/>
    <w:link w:val="BodyTextIndent2Char"/>
    <w:uiPriority w:val="99"/>
    <w:semiHidden/>
    <w:unhideWhenUsed/>
    <w:pPr>
      <w:spacing w:line="480" w:lineRule="auto"/>
      <w:ind w:left="360"/>
    </w:pPr>
  </w:style>
  <w:style w:type="character" w:customStyle="1" w:styleId="BodyTextIndent2Char">
    <w:name w:val="Body Text Indent 2 Char"/>
    <w:basedOn w:val="DefaultParagraphFont"/>
    <w:link w:val="BodyTextIndent2"/>
    <w:uiPriority w:val="99"/>
    <w:semiHidden/>
  </w:style>
  <w:style w:type="paragraph" w:styleId="BodyTextIndent3">
    <w:name w:val="Body Text Indent 3"/>
    <w:basedOn w:val="Normal"/>
    <w:link w:val="BodyTextIndent3Char"/>
    <w:uiPriority w:val="99"/>
    <w:unhideWhenUsed/>
    <w:rPr>
      <w:sz w:val="16"/>
    </w:rPr>
  </w:style>
  <w:style w:type="character" w:customStyle="1" w:styleId="BodyTextIndent3Char">
    <w:name w:val="Body Text Indent 3 Char"/>
    <w:basedOn w:val="DefaultParagraphFont"/>
    <w:link w:val="BodyTextIndent3"/>
    <w:uiPriority w:val="99"/>
    <w:rPr>
      <w:rFonts w:ascii="Arial" w:hAnsi="Arial"/>
      <w:color w:val="auto"/>
      <w:sz w:val="16"/>
      <w:u w:val="none"/>
    </w:rPr>
  </w:style>
  <w:style w:type="character" w:styleId="BookTitle">
    <w:name w:val="Book Title"/>
    <w:basedOn w:val="DefaultParagraphFont"/>
    <w:uiPriority w:val="33"/>
    <w:semiHidden/>
    <w:unhideWhenUsed/>
    <w:rPr>
      <w:b/>
      <w:bCs/>
      <w:smallCaps/>
      <w:spacing w:val="5"/>
    </w:rPr>
  </w:style>
  <w:style w:type="paragraph" w:styleId="Caption">
    <w:name w:val="caption"/>
    <w:basedOn w:val="Normal"/>
    <w:next w:val="Normal"/>
    <w:uiPriority w:val="35"/>
    <w:semiHidden/>
    <w:unhideWhenUsed/>
    <w:qFormat/>
    <w:rPr>
      <w:b/>
      <w:bCs/>
      <w:color w:val="000000" w:themeColor="accent1"/>
      <w:sz w:val="18"/>
    </w:rPr>
  </w:style>
  <w:style w:type="paragraph" w:styleId="Closing">
    <w:name w:val="Closing"/>
    <w:basedOn w:val="Normal"/>
    <w:link w:val="ClosingChar"/>
    <w:uiPriority w:val="99"/>
    <w:semiHidden/>
    <w:unhideWhenUsed/>
    <w:pPr>
      <w:spacing w:after="0"/>
      <w:ind w:left="4320"/>
    </w:pPr>
  </w:style>
  <w:style w:type="character" w:customStyle="1" w:styleId="ClosingChar">
    <w:name w:val="Closing Char"/>
    <w:basedOn w:val="DefaultParagraphFont"/>
    <w:link w:val="Closing"/>
    <w:uiPriority w:val="99"/>
    <w:semiHidden/>
  </w:style>
  <w:style w:type="table" w:styleId="ColorfulGrid">
    <w:name w:val="Colorful Grid"/>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FFFF" w:themeFill="text1" w:themeFillTint="33"/>
    </w:tcPr>
    <w:tblStylePr w:type="firstRow">
      <w:rPr>
        <w:b/>
        <w:bCs/>
      </w:rPr>
      <w:tblPr/>
      <w:tcPr>
        <w:shd w:val="clear" w:color="auto" w:fill="FFFFFF" w:themeFill="text1" w:themeFillTint="66"/>
      </w:tcPr>
    </w:tblStylePr>
    <w:tblStylePr w:type="lastRow">
      <w:rPr>
        <w:b/>
        <w:bCs/>
        <w:color w:val="FFFFFF" w:themeColor="text1"/>
      </w:rPr>
      <w:tblPr/>
      <w:tcPr>
        <w:shd w:val="clear" w:color="auto" w:fill="FFFFFF" w:themeFill="text1" w:themeFillTint="66"/>
      </w:tcPr>
    </w:tblStylePr>
    <w:tblStylePr w:type="firstCol">
      <w:rPr>
        <w:color w:val="FFFFFF" w:themeColor="background1"/>
      </w:rPr>
      <w:tblPr/>
      <w:tcPr>
        <w:shd w:val="clear" w:color="auto" w:fill="BFBFBF" w:themeFill="text1" w:themeFillShade="BF"/>
      </w:tcPr>
    </w:tblStylePr>
    <w:tblStylePr w:type="lastCol">
      <w:rPr>
        <w:color w:val="FFFFFF" w:themeColor="background1"/>
      </w:rPr>
      <w:tblPr/>
      <w:tcPr>
        <w:shd w:val="clear" w:color="auto" w:fill="BFBFBF" w:themeFill="text1" w:themeFillShade="BF"/>
      </w:tcPr>
    </w:tblStylePr>
    <w:tblStylePr w:type="band1Vert">
      <w:tblPr/>
      <w:tcPr>
        <w:shd w:val="clear" w:color="auto" w:fill="FFFFFF" w:themeFill="text1" w:themeFillTint="7F"/>
      </w:tcPr>
    </w:tblStylePr>
    <w:tblStylePr w:type="band1Horz">
      <w:tblPr/>
      <w:tcPr>
        <w:shd w:val="clear" w:color="auto" w:fill="FFFFFF" w:themeFill="text1" w:themeFillTint="7F"/>
      </w:tcPr>
    </w:tblStylePr>
  </w:style>
  <w:style w:type="table" w:styleId="ColorfulGrid-Accent1">
    <w:name w:val="Colorful Grid Accent 1"/>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CCCCCC" w:themeFill="accent1" w:themeFillTint="33"/>
    </w:tcPr>
    <w:tblStylePr w:type="firstRow">
      <w:rPr>
        <w:b/>
        <w:bCs/>
      </w:rPr>
      <w:tblPr/>
      <w:tcPr>
        <w:shd w:val="clear" w:color="auto" w:fill="999999" w:themeFill="accent1" w:themeFillTint="66"/>
      </w:tcPr>
    </w:tblStylePr>
    <w:tblStylePr w:type="lastRow">
      <w:rPr>
        <w:b/>
        <w:bCs/>
        <w:color w:val="FFFFFF" w:themeColor="text1"/>
      </w:rPr>
      <w:tblPr/>
      <w:tcPr>
        <w:shd w:val="clear" w:color="auto" w:fill="999999" w:themeFill="accent1" w:themeFillTint="66"/>
      </w:tcPr>
    </w:tblStylePr>
    <w:tblStylePr w:type="firstCol">
      <w:rPr>
        <w:color w:val="FFFFFF" w:themeColor="background1"/>
      </w:rPr>
      <w:tblPr/>
      <w:tcPr>
        <w:shd w:val="clear" w:color="auto" w:fill="000000" w:themeFill="accent1" w:themeFillShade="BF"/>
      </w:tcPr>
    </w:tblStylePr>
    <w:tblStylePr w:type="lastCol">
      <w:rPr>
        <w:color w:val="FFFFFF" w:themeColor="background1"/>
      </w:rPr>
      <w:tblPr/>
      <w:tcPr>
        <w:shd w:val="clear" w:color="auto" w:fill="000000" w:themeFill="accent1" w:themeFillShade="BF"/>
      </w:tcPr>
    </w:tblStylePr>
    <w:tblStylePr w:type="band1Vert">
      <w:tblPr/>
      <w:tcPr>
        <w:shd w:val="clear" w:color="auto" w:fill="808080" w:themeFill="accent1" w:themeFillTint="7F"/>
      </w:tcPr>
    </w:tblStylePr>
    <w:tblStylePr w:type="band1Horz">
      <w:tblPr/>
      <w:tcPr>
        <w:shd w:val="clear" w:color="auto" w:fill="808080" w:themeFill="accent1" w:themeFillTint="7F"/>
      </w:tcPr>
    </w:tblStylePr>
  </w:style>
  <w:style w:type="table" w:styleId="ColorfulGrid-Accent2">
    <w:name w:val="Colorful Grid Accent 2"/>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BAC7" w:themeFill="accent2" w:themeFillTint="33"/>
    </w:tcPr>
    <w:tblStylePr w:type="firstRow">
      <w:rPr>
        <w:b/>
        <w:bCs/>
      </w:rPr>
      <w:tblPr/>
      <w:tcPr>
        <w:shd w:val="clear" w:color="auto" w:fill="FF7590" w:themeFill="accent2" w:themeFillTint="66"/>
      </w:tcPr>
    </w:tblStylePr>
    <w:tblStylePr w:type="lastRow">
      <w:rPr>
        <w:b/>
        <w:bCs/>
        <w:color w:val="FFFFFF" w:themeColor="text1"/>
      </w:rPr>
      <w:tblPr/>
      <w:tcPr>
        <w:shd w:val="clear" w:color="auto" w:fill="FF7590" w:themeFill="accent2" w:themeFillTint="66"/>
      </w:tcPr>
    </w:tblStylePr>
    <w:tblStylePr w:type="firstCol">
      <w:rPr>
        <w:color w:val="FFFFFF" w:themeColor="background1"/>
      </w:rPr>
      <w:tblPr/>
      <w:tcPr>
        <w:shd w:val="clear" w:color="auto" w:fill="7B0018" w:themeFill="accent2" w:themeFillShade="BF"/>
      </w:tcPr>
    </w:tblStylePr>
    <w:tblStylePr w:type="lastCol">
      <w:rPr>
        <w:color w:val="FFFFFF" w:themeColor="background1"/>
      </w:rPr>
      <w:tblPr/>
      <w:tcPr>
        <w:shd w:val="clear" w:color="auto" w:fill="7B0018" w:themeFill="accent2" w:themeFillShade="BF"/>
      </w:tcPr>
    </w:tblStylePr>
    <w:tblStylePr w:type="band1Vert">
      <w:tblPr/>
      <w:tcPr>
        <w:shd w:val="clear" w:color="auto" w:fill="FF5375" w:themeFill="accent2" w:themeFillTint="7F"/>
      </w:tcPr>
    </w:tblStylePr>
    <w:tblStylePr w:type="band1Horz">
      <w:tblPr/>
      <w:tcPr>
        <w:shd w:val="clear" w:color="auto" w:fill="FF5375" w:themeFill="accent2" w:themeFillTint="7F"/>
      </w:tcPr>
    </w:tblStylePr>
  </w:style>
  <w:style w:type="table" w:styleId="ColorfulGrid-Accent3">
    <w:name w:val="Colorful Grid Accent 3"/>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EF0F0" w:themeFill="accent3" w:themeFillTint="33"/>
    </w:tcPr>
    <w:tblStylePr w:type="firstRow">
      <w:rPr>
        <w:b/>
        <w:bCs/>
      </w:rPr>
      <w:tblPr/>
      <w:tcPr>
        <w:shd w:val="clear" w:color="auto" w:fill="FEE1E2" w:themeFill="accent3" w:themeFillTint="66"/>
      </w:tcPr>
    </w:tblStylePr>
    <w:tblStylePr w:type="lastRow">
      <w:rPr>
        <w:b/>
        <w:bCs/>
        <w:color w:val="FFFFFF" w:themeColor="text1"/>
      </w:rPr>
      <w:tblPr/>
      <w:tcPr>
        <w:shd w:val="clear" w:color="auto" w:fill="FEE1E2" w:themeFill="accent3" w:themeFillTint="66"/>
      </w:tcPr>
    </w:tblStylePr>
    <w:tblStylePr w:type="firstCol">
      <w:rPr>
        <w:color w:val="FFFFFF" w:themeColor="background1"/>
      </w:rPr>
      <w:tblPr/>
      <w:tcPr>
        <w:shd w:val="clear" w:color="auto" w:fill="FA4A56" w:themeFill="accent3" w:themeFillShade="BF"/>
      </w:tcPr>
    </w:tblStylePr>
    <w:tblStylePr w:type="lastCol">
      <w:rPr>
        <w:color w:val="FFFFFF" w:themeColor="background1"/>
      </w:rPr>
      <w:tblPr/>
      <w:tcPr>
        <w:shd w:val="clear" w:color="auto" w:fill="FA4A56" w:themeFill="accent3" w:themeFillShade="BF"/>
      </w:tcPr>
    </w:tblStylePr>
    <w:tblStylePr w:type="band1Vert">
      <w:tblPr/>
      <w:tcPr>
        <w:shd w:val="clear" w:color="auto" w:fill="FEDADC" w:themeFill="accent3" w:themeFillTint="7F"/>
      </w:tcPr>
    </w:tblStylePr>
    <w:tblStylePr w:type="band1Horz">
      <w:tblPr/>
      <w:tcPr>
        <w:shd w:val="clear" w:color="auto" w:fill="FEDADC" w:themeFill="accent3" w:themeFillTint="7F"/>
      </w:tcPr>
    </w:tblStylePr>
  </w:style>
  <w:style w:type="table" w:styleId="ColorfulGrid-Accent4">
    <w:name w:val="Colorful Grid Accent 4"/>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FAFA" w:themeFill="accent4" w:themeFillTint="33"/>
    </w:tcPr>
    <w:tblStylePr w:type="firstRow">
      <w:rPr>
        <w:b/>
        <w:bCs/>
      </w:rPr>
      <w:tblPr/>
      <w:tcPr>
        <w:shd w:val="clear" w:color="auto" w:fill="FFF5F5" w:themeFill="accent4" w:themeFillTint="66"/>
      </w:tcPr>
    </w:tblStylePr>
    <w:tblStylePr w:type="lastRow">
      <w:rPr>
        <w:b/>
        <w:bCs/>
        <w:color w:val="FFFFFF" w:themeColor="text1"/>
      </w:rPr>
      <w:tblPr/>
      <w:tcPr>
        <w:shd w:val="clear" w:color="auto" w:fill="FFF5F5" w:themeFill="accent4" w:themeFillTint="66"/>
      </w:tcPr>
    </w:tblStylePr>
    <w:tblStylePr w:type="firstCol">
      <w:rPr>
        <w:color w:val="FFFFFF" w:themeColor="background1"/>
      </w:rPr>
      <w:tblPr/>
      <w:tcPr>
        <w:shd w:val="clear" w:color="auto" w:fill="FF6D6D" w:themeFill="accent4" w:themeFillShade="BF"/>
      </w:tcPr>
    </w:tblStylePr>
    <w:tblStylePr w:type="lastCol">
      <w:rPr>
        <w:color w:val="FFFFFF" w:themeColor="background1"/>
      </w:rPr>
      <w:tblPr/>
      <w:tcPr>
        <w:shd w:val="clear" w:color="auto" w:fill="FF6D6D" w:themeFill="accent4" w:themeFillShade="BF"/>
      </w:tcPr>
    </w:tblStylePr>
    <w:tblStylePr w:type="band1Vert">
      <w:tblPr/>
      <w:tcPr>
        <w:shd w:val="clear" w:color="auto" w:fill="FFF3F3" w:themeFill="accent4" w:themeFillTint="7F"/>
      </w:tcPr>
    </w:tblStylePr>
    <w:tblStylePr w:type="band1Horz">
      <w:tblPr/>
      <w:tcPr>
        <w:shd w:val="clear" w:color="auto" w:fill="FFF3F3" w:themeFill="accent4" w:themeFillTint="7F"/>
      </w:tcPr>
    </w:tblStylePr>
  </w:style>
  <w:style w:type="table" w:styleId="ColorfulGrid-Accent5">
    <w:name w:val="Colorful Grid Accent 5"/>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EF7F8" w:themeFill="accent5" w:themeFillTint="33"/>
    </w:tcPr>
    <w:tblStylePr w:type="firstRow">
      <w:rPr>
        <w:b/>
        <w:bCs/>
      </w:rPr>
      <w:tblPr/>
      <w:tcPr>
        <w:shd w:val="clear" w:color="auto" w:fill="FEF0F1" w:themeFill="accent5" w:themeFillTint="66"/>
      </w:tcPr>
    </w:tblStylePr>
    <w:tblStylePr w:type="lastRow">
      <w:rPr>
        <w:b/>
        <w:bCs/>
        <w:color w:val="FFFFFF" w:themeColor="text1"/>
      </w:rPr>
      <w:tblPr/>
      <w:tcPr>
        <w:shd w:val="clear" w:color="auto" w:fill="FEF0F1" w:themeFill="accent5" w:themeFillTint="66"/>
      </w:tcPr>
    </w:tblStylePr>
    <w:tblStylePr w:type="firstCol">
      <w:rPr>
        <w:color w:val="FFFFFF" w:themeColor="background1"/>
      </w:rPr>
      <w:tblPr/>
      <w:tcPr>
        <w:shd w:val="clear" w:color="auto" w:fill="FB6672" w:themeFill="accent5" w:themeFillShade="BF"/>
      </w:tcPr>
    </w:tblStylePr>
    <w:tblStylePr w:type="lastCol">
      <w:rPr>
        <w:color w:val="FFFFFF" w:themeColor="background1"/>
      </w:rPr>
      <w:tblPr/>
      <w:tcPr>
        <w:shd w:val="clear" w:color="auto" w:fill="FB6672" w:themeFill="accent5" w:themeFillShade="BF"/>
      </w:tcPr>
    </w:tblStylePr>
    <w:tblStylePr w:type="band1Vert">
      <w:tblPr/>
      <w:tcPr>
        <w:shd w:val="clear" w:color="auto" w:fill="FEECED" w:themeFill="accent5" w:themeFillTint="7F"/>
      </w:tcPr>
    </w:tblStylePr>
    <w:tblStylePr w:type="band1Horz">
      <w:tblPr/>
      <w:tcPr>
        <w:shd w:val="clear" w:color="auto" w:fill="FEECED" w:themeFill="accent5" w:themeFillTint="7F"/>
      </w:tcPr>
    </w:tblStylePr>
  </w:style>
  <w:style w:type="table" w:styleId="ColorfulGrid-Accent6">
    <w:name w:val="Colorful Grid Accent 6"/>
    <w:basedOn w:val="TableNormal"/>
    <w:uiPriority w:val="73"/>
    <w:pPr>
      <w:spacing w:after="0"/>
    </w:pPr>
    <w:rPr>
      <w:color w:val="FFFFFF" w:themeColor="text1"/>
    </w:rPr>
    <w:tblPr>
      <w:tblStyleRowBandSize w:val="1"/>
      <w:tblStyleColBandSize w:val="1"/>
      <w:tblBorders>
        <w:insideH w:val="single" w:sz="4" w:space="0" w:color="FFFFFF" w:themeColor="background1"/>
      </w:tblBorders>
    </w:tblPr>
    <w:tcPr>
      <w:shd w:val="clear" w:color="auto" w:fill="FFAFBE" w:themeFill="accent6" w:themeFillTint="33"/>
    </w:tcPr>
    <w:tblStylePr w:type="firstRow">
      <w:rPr>
        <w:b/>
        <w:bCs/>
      </w:rPr>
      <w:tblPr/>
      <w:tcPr>
        <w:shd w:val="clear" w:color="auto" w:fill="FF5F7D" w:themeFill="accent6" w:themeFillTint="66"/>
      </w:tcPr>
    </w:tblStylePr>
    <w:tblStylePr w:type="lastRow">
      <w:rPr>
        <w:b/>
        <w:bCs/>
        <w:color w:val="FFFFFF" w:themeColor="text1"/>
      </w:rPr>
      <w:tblPr/>
      <w:tcPr>
        <w:shd w:val="clear" w:color="auto" w:fill="FF5F7D" w:themeFill="accent6" w:themeFillTint="66"/>
      </w:tcPr>
    </w:tblStylePr>
    <w:tblStylePr w:type="firstCol">
      <w:rPr>
        <w:color w:val="FFFFFF" w:themeColor="background1"/>
      </w:rPr>
      <w:tblPr/>
      <w:tcPr>
        <w:shd w:val="clear" w:color="auto" w:fill="53000F" w:themeFill="accent6" w:themeFillShade="BF"/>
      </w:tcPr>
    </w:tblStylePr>
    <w:tblStylePr w:type="lastCol">
      <w:rPr>
        <w:color w:val="FFFFFF" w:themeColor="background1"/>
      </w:rPr>
      <w:tblPr/>
      <w:tcPr>
        <w:shd w:val="clear" w:color="auto" w:fill="53000F" w:themeFill="accent6" w:themeFillShade="BF"/>
      </w:tcPr>
    </w:tblStylePr>
    <w:tblStylePr w:type="band1Vert">
      <w:tblPr/>
      <w:tcPr>
        <w:shd w:val="clear" w:color="auto" w:fill="FF385D" w:themeFill="accent6" w:themeFillTint="7F"/>
      </w:tcPr>
    </w:tblStylePr>
    <w:tblStylePr w:type="band1Horz">
      <w:tblPr/>
      <w:tcPr>
        <w:shd w:val="clear" w:color="auto" w:fill="FF385D" w:themeFill="accent6" w:themeFillTint="7F"/>
      </w:tcPr>
    </w:tblStylePr>
  </w:style>
  <w:style w:type="table" w:styleId="ColorfulList">
    <w:name w:val="Colorful List"/>
    <w:basedOn w:val="TableNormal"/>
    <w:uiPriority w:val="72"/>
    <w:pPr>
      <w:spacing w:after="0"/>
    </w:pPr>
    <w:rPr>
      <w:color w:val="FFFFFF" w:themeColor="text1"/>
    </w:rPr>
    <w:tblPr>
      <w:tblStyleRowBandSize w:val="1"/>
      <w:tblStyleColBandSize w:val="1"/>
    </w:tblPr>
    <w:tcPr>
      <w:shd w:val="clear" w:color="auto" w:fill="FFFFFF" w:themeFill="text1" w:themeFillTint="19"/>
    </w:tcPr>
    <w:tblStylePr w:type="firstRow">
      <w:rPr>
        <w:b/>
        <w:bCs/>
        <w:color w:val="FFFFFF" w:themeColor="background1"/>
      </w:rPr>
      <w:tblPr/>
      <w:tcPr>
        <w:tcBorders>
          <w:bottom w:val="single" w:sz="12" w:space="0" w:color="FFFFFF" w:themeColor="background1"/>
        </w:tcBorders>
        <w:shd w:val="clear" w:color="auto" w:fill="84001A" w:themeFill="accent2" w:themeFillShade="CC"/>
      </w:tcPr>
    </w:tblStylePr>
    <w:tblStylePr w:type="lastRow">
      <w:rPr>
        <w:b/>
        <w:bCs/>
        <w:color w:val="84001A"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FFF" w:themeFill="text1" w:themeFillTint="3F"/>
      </w:tcPr>
    </w:tblStylePr>
    <w:tblStylePr w:type="band1Horz">
      <w:tblPr/>
      <w:tcPr>
        <w:shd w:val="clear" w:color="auto" w:fill="FFFFFF" w:themeFill="text1" w:themeFillTint="33"/>
      </w:tcPr>
    </w:tblStylePr>
  </w:style>
  <w:style w:type="table" w:styleId="ColorfulList-Accent1">
    <w:name w:val="Colorful List Accent 1"/>
    <w:basedOn w:val="TableNormal"/>
    <w:uiPriority w:val="72"/>
    <w:pPr>
      <w:spacing w:after="0"/>
    </w:pPr>
    <w:rPr>
      <w:color w:val="FFFFFF" w:themeColor="text1"/>
    </w:rPr>
    <w:tblPr>
      <w:tblStyleRowBandSize w:val="1"/>
      <w:tblStyleColBandSize w:val="1"/>
    </w:tblPr>
    <w:tcPr>
      <w:shd w:val="clear" w:color="auto" w:fill="E6E6E6" w:themeFill="accent1" w:themeFillTint="19"/>
    </w:tcPr>
    <w:tblStylePr w:type="firstRow">
      <w:rPr>
        <w:b/>
        <w:bCs/>
        <w:color w:val="FFFFFF" w:themeColor="background1"/>
      </w:rPr>
      <w:tblPr/>
      <w:tcPr>
        <w:tcBorders>
          <w:bottom w:val="single" w:sz="12" w:space="0" w:color="FFFFFF" w:themeColor="background1"/>
        </w:tcBorders>
        <w:shd w:val="clear" w:color="auto" w:fill="84001A" w:themeFill="accent2" w:themeFillShade="CC"/>
      </w:tcPr>
    </w:tblStylePr>
    <w:tblStylePr w:type="lastRow">
      <w:rPr>
        <w:b/>
        <w:bCs/>
        <w:color w:val="84001A"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accent1" w:themeFillTint="3F"/>
      </w:tcPr>
    </w:tblStylePr>
    <w:tblStylePr w:type="band1Horz">
      <w:tblPr/>
      <w:tcPr>
        <w:shd w:val="clear" w:color="auto" w:fill="CCCCCC" w:themeFill="accent1" w:themeFillTint="33"/>
      </w:tcPr>
    </w:tblStylePr>
  </w:style>
  <w:style w:type="table" w:styleId="ColorfulList-Accent2">
    <w:name w:val="Colorful List Accent 2"/>
    <w:basedOn w:val="TableNormal"/>
    <w:uiPriority w:val="72"/>
    <w:pPr>
      <w:spacing w:after="0"/>
    </w:pPr>
    <w:rPr>
      <w:color w:val="FFFFFF" w:themeColor="text1"/>
    </w:rPr>
    <w:tblPr>
      <w:tblStyleRowBandSize w:val="1"/>
      <w:tblStyleColBandSize w:val="1"/>
    </w:tblPr>
    <w:tcPr>
      <w:shd w:val="clear" w:color="auto" w:fill="FFDDE3" w:themeFill="accent2" w:themeFillTint="19"/>
    </w:tcPr>
    <w:tblStylePr w:type="firstRow">
      <w:rPr>
        <w:b/>
        <w:bCs/>
        <w:color w:val="FFFFFF" w:themeColor="background1"/>
      </w:rPr>
      <w:tblPr/>
      <w:tcPr>
        <w:tcBorders>
          <w:bottom w:val="single" w:sz="12" w:space="0" w:color="FFFFFF" w:themeColor="background1"/>
        </w:tcBorders>
        <w:shd w:val="clear" w:color="auto" w:fill="84001A" w:themeFill="accent2" w:themeFillShade="CC"/>
      </w:tcPr>
    </w:tblStylePr>
    <w:tblStylePr w:type="lastRow">
      <w:rPr>
        <w:b/>
        <w:bCs/>
        <w:color w:val="84001A" w:themeColor="accent2"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A9BA" w:themeFill="accent2" w:themeFillTint="3F"/>
      </w:tcPr>
    </w:tblStylePr>
    <w:tblStylePr w:type="band1Horz">
      <w:tblPr/>
      <w:tcPr>
        <w:shd w:val="clear" w:color="auto" w:fill="FFBAC7" w:themeFill="accent2" w:themeFillTint="33"/>
      </w:tcPr>
    </w:tblStylePr>
  </w:style>
  <w:style w:type="table" w:styleId="ColorfulList-Accent3">
    <w:name w:val="Colorful List Accent 3"/>
    <w:basedOn w:val="TableNormal"/>
    <w:uiPriority w:val="72"/>
    <w:pPr>
      <w:spacing w:after="0"/>
    </w:pPr>
    <w:rPr>
      <w:color w:val="FFFFFF" w:themeColor="text1"/>
    </w:rPr>
    <w:tblPr>
      <w:tblStyleRowBandSize w:val="1"/>
      <w:tblStyleColBandSize w:val="1"/>
    </w:tblPr>
    <w:tcPr>
      <w:shd w:val="clear" w:color="auto" w:fill="FEF7F7" w:themeFill="accent3" w:themeFillTint="19"/>
    </w:tcPr>
    <w:tblStylePr w:type="firstRow">
      <w:rPr>
        <w:b/>
        <w:bCs/>
        <w:color w:val="FFFFFF" w:themeColor="background1"/>
      </w:rPr>
      <w:tblPr/>
      <w:tcPr>
        <w:tcBorders>
          <w:bottom w:val="single" w:sz="12" w:space="0" w:color="FFFFFF" w:themeColor="background1"/>
        </w:tcBorders>
        <w:shd w:val="clear" w:color="auto" w:fill="FF8585" w:themeFill="accent4" w:themeFillShade="CC"/>
      </w:tcPr>
    </w:tblStylePr>
    <w:tblStylePr w:type="lastRow">
      <w:rPr>
        <w:b/>
        <w:bCs/>
        <w:color w:val="FF8585" w:themeColor="accent4"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ECED" w:themeFill="accent3" w:themeFillTint="3F"/>
      </w:tcPr>
    </w:tblStylePr>
    <w:tblStylePr w:type="band1Horz">
      <w:tblPr/>
      <w:tcPr>
        <w:shd w:val="clear" w:color="auto" w:fill="FEF0F0" w:themeFill="accent3" w:themeFillTint="33"/>
      </w:tcPr>
    </w:tblStylePr>
  </w:style>
  <w:style w:type="table" w:styleId="ColorfulList-Accent4">
    <w:name w:val="Colorful List Accent 4"/>
    <w:basedOn w:val="TableNormal"/>
    <w:uiPriority w:val="72"/>
    <w:pPr>
      <w:spacing w:after="0"/>
    </w:pPr>
    <w:rPr>
      <w:color w:val="FFFFFF" w:themeColor="text1"/>
    </w:rPr>
    <w:tblPr>
      <w:tblStyleRowBandSize w:val="1"/>
      <w:tblStyleColBandSize w:val="1"/>
    </w:tblPr>
    <w:tcPr>
      <w:shd w:val="clear" w:color="auto" w:fill="FFFCFC" w:themeFill="accent4" w:themeFillTint="19"/>
    </w:tcPr>
    <w:tblStylePr w:type="firstRow">
      <w:rPr>
        <w:b/>
        <w:bCs/>
        <w:color w:val="FFFFFF" w:themeColor="background1"/>
      </w:rPr>
      <w:tblPr/>
      <w:tcPr>
        <w:tcBorders>
          <w:bottom w:val="single" w:sz="12" w:space="0" w:color="FFFFFF" w:themeColor="background1"/>
        </w:tcBorders>
        <w:shd w:val="clear" w:color="auto" w:fill="FA606A" w:themeFill="accent3" w:themeFillShade="CC"/>
      </w:tcPr>
    </w:tblStylePr>
    <w:tblStylePr w:type="lastRow">
      <w:rPr>
        <w:b/>
        <w:bCs/>
        <w:color w:val="FA606A" w:themeColor="accent3"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9F9" w:themeFill="accent4" w:themeFillTint="3F"/>
      </w:tcPr>
    </w:tblStylePr>
    <w:tblStylePr w:type="band1Horz">
      <w:tblPr/>
      <w:tcPr>
        <w:shd w:val="clear" w:color="auto" w:fill="FFFAFA" w:themeFill="accent4" w:themeFillTint="33"/>
      </w:tcPr>
    </w:tblStylePr>
  </w:style>
  <w:style w:type="table" w:styleId="ColorfulList-Accent5">
    <w:name w:val="Colorful List Accent 5"/>
    <w:basedOn w:val="TableNormal"/>
    <w:uiPriority w:val="72"/>
    <w:pPr>
      <w:spacing w:after="0"/>
    </w:pPr>
    <w:rPr>
      <w:color w:val="FFFFFF" w:themeColor="text1"/>
    </w:rPr>
    <w:tblPr>
      <w:tblStyleRowBandSize w:val="1"/>
      <w:tblStyleColBandSize w:val="1"/>
    </w:tblPr>
    <w:tcPr>
      <w:shd w:val="clear" w:color="auto" w:fill="FFFBFB" w:themeFill="accent5" w:themeFillTint="19"/>
    </w:tcPr>
    <w:tblStylePr w:type="firstRow">
      <w:rPr>
        <w:b/>
        <w:bCs/>
        <w:color w:val="FFFFFF" w:themeColor="background1"/>
      </w:rPr>
      <w:tblPr/>
      <w:tcPr>
        <w:tcBorders>
          <w:bottom w:val="single" w:sz="12" w:space="0" w:color="FFFFFF" w:themeColor="background1"/>
        </w:tcBorders>
        <w:shd w:val="clear" w:color="auto" w:fill="590010" w:themeFill="accent6" w:themeFillShade="CC"/>
      </w:tcPr>
    </w:tblStylePr>
    <w:tblStylePr w:type="lastRow">
      <w:rPr>
        <w:b/>
        <w:bCs/>
        <w:color w:val="590010" w:themeColor="accent6"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EF5F6" w:themeFill="accent5" w:themeFillTint="3F"/>
      </w:tcPr>
    </w:tblStylePr>
    <w:tblStylePr w:type="band1Horz">
      <w:tblPr/>
      <w:tcPr>
        <w:shd w:val="clear" w:color="auto" w:fill="FEF7F8" w:themeFill="accent5" w:themeFillTint="33"/>
      </w:tcPr>
    </w:tblStylePr>
  </w:style>
  <w:style w:type="table" w:styleId="ColorfulList-Accent6">
    <w:name w:val="Colorful List Accent 6"/>
    <w:basedOn w:val="TableNormal"/>
    <w:uiPriority w:val="72"/>
    <w:pPr>
      <w:spacing w:after="0"/>
    </w:pPr>
    <w:rPr>
      <w:color w:val="FFFFFF" w:themeColor="text1"/>
    </w:rPr>
    <w:tblPr>
      <w:tblStyleRowBandSize w:val="1"/>
      <w:tblStyleColBandSize w:val="1"/>
    </w:tblPr>
    <w:tcPr>
      <w:shd w:val="clear" w:color="auto" w:fill="FFD7DE" w:themeFill="accent6" w:themeFillTint="19"/>
    </w:tcPr>
    <w:tblStylePr w:type="firstRow">
      <w:rPr>
        <w:b/>
        <w:bCs/>
        <w:color w:val="FFFFFF" w:themeColor="background1"/>
      </w:rPr>
      <w:tblPr/>
      <w:tcPr>
        <w:tcBorders>
          <w:bottom w:val="single" w:sz="12" w:space="0" w:color="FFFFFF" w:themeColor="background1"/>
        </w:tcBorders>
        <w:shd w:val="clear" w:color="auto" w:fill="FB7D88" w:themeFill="accent5" w:themeFillShade="CC"/>
      </w:tcPr>
    </w:tblStylePr>
    <w:tblStylePr w:type="lastRow">
      <w:rPr>
        <w:b/>
        <w:bCs/>
        <w:color w:val="FB7D88" w:themeColor="accent5" w:themeShade="CC"/>
      </w:rPr>
      <w:tblPr/>
      <w:tcPr>
        <w:tcBorders>
          <w:top w:val="single" w:sz="12" w:space="0" w:color="FFFFFF"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AE" w:themeFill="accent6" w:themeFillTint="3F"/>
      </w:tcPr>
    </w:tblStylePr>
    <w:tblStylePr w:type="band1Horz">
      <w:tblPr/>
      <w:tcPr>
        <w:shd w:val="clear" w:color="auto" w:fill="FFAFBE" w:themeFill="accent6" w:themeFillTint="33"/>
      </w:tcPr>
    </w:tblStylePr>
  </w:style>
  <w:style w:type="table" w:styleId="ColorfulShading">
    <w:name w:val="Colorful Shading"/>
    <w:basedOn w:val="TableNormal"/>
    <w:uiPriority w:val="71"/>
    <w:pPr>
      <w:spacing w:after="0"/>
    </w:pPr>
    <w:rPr>
      <w:color w:val="FFFFFF" w:themeColor="text1"/>
    </w:rPr>
    <w:tblPr>
      <w:tblStyleRowBandSize w:val="1"/>
      <w:tblStyleColBandSize w:val="1"/>
      <w:tblBorders>
        <w:top w:val="single" w:sz="24" w:space="0" w:color="A50021" w:themeColor="accent2"/>
        <w:left w:val="single" w:sz="4" w:space="0" w:color="FFFFFF" w:themeColor="text1"/>
        <w:bottom w:val="single" w:sz="4" w:space="0" w:color="FFFFFF" w:themeColor="text1"/>
        <w:right w:val="single" w:sz="4" w:space="0" w:color="FFFFFF" w:themeColor="text1"/>
        <w:insideH w:val="single" w:sz="4" w:space="0" w:color="FFFFFF" w:themeColor="background1"/>
        <w:insideV w:val="single" w:sz="4" w:space="0" w:color="FFFFFF" w:themeColor="background1"/>
      </w:tblBorders>
    </w:tblPr>
    <w:tcPr>
      <w:shd w:val="clear" w:color="auto" w:fill="FFFFFF" w:themeFill="text1" w:themeFillTint="19"/>
    </w:tcPr>
    <w:tblStylePr w:type="firstRow">
      <w:rPr>
        <w:b/>
        <w:bCs/>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9999" w:themeFill="text1" w:themeFillShade="99"/>
      </w:tcPr>
    </w:tblStylePr>
    <w:tblStylePr w:type="firstCol">
      <w:rPr>
        <w:color w:val="FFFFFF" w:themeColor="background1"/>
      </w:rPr>
      <w:tblPr/>
      <w:tcPr>
        <w:tcBorders>
          <w:top w:val="nil"/>
          <w:left w:val="nil"/>
          <w:bottom w:val="nil"/>
          <w:right w:val="nil"/>
          <w:insideH w:val="single" w:sz="4" w:space="0" w:color="999999" w:themeColor="text1" w:themeShade="99"/>
          <w:insideV w:val="nil"/>
        </w:tcBorders>
        <w:shd w:val="clear" w:color="auto" w:fill="999999"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BFBFBF" w:themeFill="text1" w:themeFillShade="BF"/>
      </w:tcPr>
    </w:tblStylePr>
    <w:tblStylePr w:type="band1Vert">
      <w:tblPr/>
      <w:tcPr>
        <w:shd w:val="clear" w:color="auto" w:fill="FFFFFF" w:themeFill="text1" w:themeFillTint="66"/>
      </w:tcPr>
    </w:tblStylePr>
    <w:tblStylePr w:type="band1Horz">
      <w:tblPr/>
      <w:tcPr>
        <w:shd w:val="clear" w:color="auto" w:fill="FFFFFF" w:themeFill="text1" w:themeFillTint="7F"/>
      </w:tcPr>
    </w:tblStylePr>
    <w:tblStylePr w:type="neCell">
      <w:rPr>
        <w:color w:val="FFFFFF" w:themeColor="text1"/>
      </w:rPr>
    </w:tblStylePr>
    <w:tblStylePr w:type="nwCell">
      <w:rPr>
        <w:color w:val="FFFFFF" w:themeColor="text1"/>
      </w:rPr>
    </w:tblStylePr>
  </w:style>
  <w:style w:type="table" w:styleId="ColorfulShading-Accent1">
    <w:name w:val="Colorful Shading Accent 1"/>
    <w:basedOn w:val="TableNormal"/>
    <w:uiPriority w:val="71"/>
    <w:pPr>
      <w:spacing w:after="0"/>
    </w:pPr>
    <w:rPr>
      <w:color w:val="FFFFFF" w:themeColor="text1"/>
    </w:rPr>
    <w:tblPr>
      <w:tblStyleRowBandSize w:val="1"/>
      <w:tblStyleColBandSize w:val="1"/>
      <w:tblBorders>
        <w:top w:val="single" w:sz="24" w:space="0" w:color="A50021" w:themeColor="accent2"/>
        <w:left w:val="single" w:sz="4" w:space="0" w:color="000000" w:themeColor="accent1"/>
        <w:bottom w:val="single" w:sz="4" w:space="0" w:color="000000" w:themeColor="accent1"/>
        <w:right w:val="single" w:sz="4" w:space="0" w:color="000000" w:themeColor="accent1"/>
        <w:insideH w:val="single" w:sz="4" w:space="0" w:color="FFFFFF" w:themeColor="background1"/>
        <w:insideV w:val="single" w:sz="4" w:space="0" w:color="FFFFFF" w:themeColor="background1"/>
      </w:tblBorders>
    </w:tblPr>
    <w:tcPr>
      <w:shd w:val="clear" w:color="auto" w:fill="E6E6E6" w:themeFill="accent1" w:themeFillTint="19"/>
    </w:tcPr>
    <w:tblStylePr w:type="firstRow">
      <w:rPr>
        <w:b/>
        <w:bCs/>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accent1" w:themeFillShade="99"/>
      </w:tcPr>
    </w:tblStylePr>
    <w:tblStylePr w:type="firstCol">
      <w:rPr>
        <w:color w:val="FFFFFF" w:themeColor="background1"/>
      </w:rPr>
      <w:tblPr/>
      <w:tcPr>
        <w:tcBorders>
          <w:top w:val="nil"/>
          <w:left w:val="nil"/>
          <w:bottom w:val="nil"/>
          <w:right w:val="nil"/>
          <w:insideH w:val="single" w:sz="4" w:space="0" w:color="000000" w:themeColor="accent1" w:themeShade="99"/>
          <w:insideV w:val="nil"/>
        </w:tcBorders>
        <w:shd w:val="clear" w:color="auto" w:fill="0000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accent1" w:themeFillShade="99"/>
      </w:tcPr>
    </w:tblStylePr>
    <w:tblStylePr w:type="band1Vert">
      <w:tblPr/>
      <w:tcPr>
        <w:shd w:val="clear" w:color="auto" w:fill="999999" w:themeFill="accent1" w:themeFillTint="66"/>
      </w:tcPr>
    </w:tblStylePr>
    <w:tblStylePr w:type="band1Horz">
      <w:tblPr/>
      <w:tcPr>
        <w:shd w:val="clear" w:color="auto" w:fill="808080" w:themeFill="accent1" w:themeFillTint="7F"/>
      </w:tcPr>
    </w:tblStylePr>
    <w:tblStylePr w:type="neCell">
      <w:rPr>
        <w:color w:val="FFFFFF" w:themeColor="text1"/>
      </w:rPr>
    </w:tblStylePr>
    <w:tblStylePr w:type="nwCell">
      <w:rPr>
        <w:color w:val="FFFFFF" w:themeColor="text1"/>
      </w:rPr>
    </w:tblStylePr>
  </w:style>
  <w:style w:type="table" w:styleId="ColorfulShading-Accent2">
    <w:name w:val="Colorful Shading Accent 2"/>
    <w:basedOn w:val="TableNormal"/>
    <w:uiPriority w:val="71"/>
    <w:pPr>
      <w:spacing w:after="0"/>
    </w:pPr>
    <w:rPr>
      <w:color w:val="FFFFFF" w:themeColor="text1"/>
    </w:rPr>
    <w:tblPr>
      <w:tblStyleRowBandSize w:val="1"/>
      <w:tblStyleColBandSize w:val="1"/>
      <w:tblBorders>
        <w:top w:val="single" w:sz="24" w:space="0" w:color="A50021" w:themeColor="accent2"/>
        <w:left w:val="single" w:sz="4" w:space="0" w:color="A50021" w:themeColor="accent2"/>
        <w:bottom w:val="single" w:sz="4" w:space="0" w:color="A50021" w:themeColor="accent2"/>
        <w:right w:val="single" w:sz="4" w:space="0" w:color="A50021" w:themeColor="accent2"/>
        <w:insideH w:val="single" w:sz="4" w:space="0" w:color="FFFFFF" w:themeColor="background1"/>
        <w:insideV w:val="single" w:sz="4" w:space="0" w:color="FFFFFF" w:themeColor="background1"/>
      </w:tblBorders>
    </w:tblPr>
    <w:tcPr>
      <w:shd w:val="clear" w:color="auto" w:fill="FFDDE3" w:themeFill="accent2" w:themeFillTint="19"/>
    </w:tcPr>
    <w:tblStylePr w:type="firstRow">
      <w:rPr>
        <w:b/>
        <w:bCs/>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0013" w:themeFill="accent2" w:themeFillShade="99"/>
      </w:tcPr>
    </w:tblStylePr>
    <w:tblStylePr w:type="firstCol">
      <w:rPr>
        <w:color w:val="FFFFFF" w:themeColor="background1"/>
      </w:rPr>
      <w:tblPr/>
      <w:tcPr>
        <w:tcBorders>
          <w:top w:val="nil"/>
          <w:left w:val="nil"/>
          <w:bottom w:val="nil"/>
          <w:right w:val="nil"/>
          <w:insideH w:val="single" w:sz="4" w:space="0" w:color="630013" w:themeColor="accent2" w:themeShade="99"/>
          <w:insideV w:val="nil"/>
        </w:tcBorders>
        <w:shd w:val="clear" w:color="auto" w:fill="63001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630013" w:themeFill="accent2" w:themeFillShade="99"/>
      </w:tcPr>
    </w:tblStylePr>
    <w:tblStylePr w:type="band1Vert">
      <w:tblPr/>
      <w:tcPr>
        <w:shd w:val="clear" w:color="auto" w:fill="FF7590" w:themeFill="accent2" w:themeFillTint="66"/>
      </w:tcPr>
    </w:tblStylePr>
    <w:tblStylePr w:type="band1Horz">
      <w:tblPr/>
      <w:tcPr>
        <w:shd w:val="clear" w:color="auto" w:fill="FF5375" w:themeFill="accent2" w:themeFillTint="7F"/>
      </w:tcPr>
    </w:tblStylePr>
    <w:tblStylePr w:type="neCell">
      <w:rPr>
        <w:color w:val="FFFFFF" w:themeColor="text1"/>
      </w:rPr>
    </w:tblStylePr>
    <w:tblStylePr w:type="nwCell">
      <w:rPr>
        <w:color w:val="FFFFFF" w:themeColor="text1"/>
      </w:rPr>
    </w:tblStylePr>
  </w:style>
  <w:style w:type="table" w:styleId="ColorfulShading-Accent3">
    <w:name w:val="Colorful Shading Accent 3"/>
    <w:basedOn w:val="TableNormal"/>
    <w:uiPriority w:val="71"/>
    <w:pPr>
      <w:spacing w:after="0"/>
    </w:pPr>
    <w:rPr>
      <w:color w:val="FFFFFF" w:themeColor="text1"/>
    </w:rPr>
    <w:tblPr>
      <w:tblStyleRowBandSize w:val="1"/>
      <w:tblStyleColBandSize w:val="1"/>
      <w:tblBorders>
        <w:top w:val="single" w:sz="24" w:space="0" w:color="FFE7E7" w:themeColor="accent4"/>
        <w:left w:val="single" w:sz="4" w:space="0" w:color="FDB5BA" w:themeColor="accent3"/>
        <w:bottom w:val="single" w:sz="4" w:space="0" w:color="FDB5BA" w:themeColor="accent3"/>
        <w:right w:val="single" w:sz="4" w:space="0" w:color="FDB5BA" w:themeColor="accent3"/>
        <w:insideH w:val="single" w:sz="4" w:space="0" w:color="FFFFFF" w:themeColor="background1"/>
        <w:insideV w:val="single" w:sz="4" w:space="0" w:color="FFFFFF" w:themeColor="background1"/>
      </w:tblBorders>
    </w:tblPr>
    <w:tcPr>
      <w:shd w:val="clear" w:color="auto" w:fill="FEF7F7" w:themeFill="accent3" w:themeFillTint="19"/>
    </w:tcPr>
    <w:tblStylePr w:type="firstRow">
      <w:rPr>
        <w:b/>
        <w:bCs/>
      </w:rPr>
      <w:tblPr/>
      <w:tcPr>
        <w:tcBorders>
          <w:top w:val="nil"/>
          <w:left w:val="nil"/>
          <w:bottom w:val="single" w:sz="24" w:space="0" w:color="FFE7E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80B1B" w:themeFill="accent3" w:themeFillShade="99"/>
      </w:tcPr>
    </w:tblStylePr>
    <w:tblStylePr w:type="firstCol">
      <w:rPr>
        <w:color w:val="FFFFFF" w:themeColor="background1"/>
      </w:rPr>
      <w:tblPr/>
      <w:tcPr>
        <w:tcBorders>
          <w:top w:val="nil"/>
          <w:left w:val="nil"/>
          <w:bottom w:val="nil"/>
          <w:right w:val="nil"/>
          <w:insideH w:val="single" w:sz="4" w:space="0" w:color="F80B1B" w:themeColor="accent3" w:themeShade="99"/>
          <w:insideV w:val="nil"/>
        </w:tcBorders>
        <w:shd w:val="clear" w:color="auto" w:fill="F80B1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F80B1B" w:themeFill="accent3" w:themeFillShade="99"/>
      </w:tcPr>
    </w:tblStylePr>
    <w:tblStylePr w:type="band1Vert">
      <w:tblPr/>
      <w:tcPr>
        <w:shd w:val="clear" w:color="auto" w:fill="FEE1E2" w:themeFill="accent3" w:themeFillTint="66"/>
      </w:tcPr>
    </w:tblStylePr>
    <w:tblStylePr w:type="band1Horz">
      <w:tblPr/>
      <w:tcPr>
        <w:shd w:val="clear" w:color="auto" w:fill="FEDADC" w:themeFill="accent3" w:themeFillTint="7F"/>
      </w:tcPr>
    </w:tblStylePr>
  </w:style>
  <w:style w:type="table" w:styleId="ColorfulShading-Accent4">
    <w:name w:val="Colorful Shading Accent 4"/>
    <w:basedOn w:val="TableNormal"/>
    <w:uiPriority w:val="71"/>
    <w:pPr>
      <w:spacing w:after="0"/>
    </w:pPr>
    <w:rPr>
      <w:color w:val="FFFFFF" w:themeColor="text1"/>
    </w:rPr>
    <w:tblPr>
      <w:tblStyleRowBandSize w:val="1"/>
      <w:tblStyleColBandSize w:val="1"/>
      <w:tblBorders>
        <w:top w:val="single" w:sz="24" w:space="0" w:color="FDB5BA" w:themeColor="accent3"/>
        <w:left w:val="single" w:sz="4" w:space="0" w:color="FFE7E7" w:themeColor="accent4"/>
        <w:bottom w:val="single" w:sz="4" w:space="0" w:color="FFE7E7" w:themeColor="accent4"/>
        <w:right w:val="single" w:sz="4" w:space="0" w:color="FFE7E7" w:themeColor="accent4"/>
        <w:insideH w:val="single" w:sz="4" w:space="0" w:color="FFFFFF" w:themeColor="background1"/>
        <w:insideV w:val="single" w:sz="4" w:space="0" w:color="FFFFFF" w:themeColor="background1"/>
      </w:tblBorders>
    </w:tblPr>
    <w:tcPr>
      <w:shd w:val="clear" w:color="auto" w:fill="FFFCFC" w:themeFill="accent4" w:themeFillTint="19"/>
    </w:tcPr>
    <w:tblStylePr w:type="firstRow">
      <w:rPr>
        <w:b/>
        <w:bCs/>
      </w:rPr>
      <w:tblPr/>
      <w:tcPr>
        <w:tcBorders>
          <w:top w:val="nil"/>
          <w:left w:val="nil"/>
          <w:bottom w:val="single" w:sz="24" w:space="0" w:color="FDB5BA"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F2424" w:themeFill="accent4" w:themeFillShade="99"/>
      </w:tcPr>
    </w:tblStylePr>
    <w:tblStylePr w:type="firstCol">
      <w:rPr>
        <w:color w:val="FFFFFF" w:themeColor="background1"/>
      </w:rPr>
      <w:tblPr/>
      <w:tcPr>
        <w:tcBorders>
          <w:top w:val="nil"/>
          <w:left w:val="nil"/>
          <w:bottom w:val="nil"/>
          <w:right w:val="nil"/>
          <w:insideH w:val="single" w:sz="4" w:space="0" w:color="FF2424" w:themeColor="accent4" w:themeShade="99"/>
          <w:insideV w:val="nil"/>
        </w:tcBorders>
        <w:shd w:val="clear" w:color="auto" w:fill="FF2424"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FF2424" w:themeFill="accent4" w:themeFillShade="99"/>
      </w:tcPr>
    </w:tblStylePr>
    <w:tblStylePr w:type="band1Vert">
      <w:tblPr/>
      <w:tcPr>
        <w:shd w:val="clear" w:color="auto" w:fill="FFF5F5" w:themeFill="accent4" w:themeFillTint="66"/>
      </w:tcPr>
    </w:tblStylePr>
    <w:tblStylePr w:type="band1Horz">
      <w:tblPr/>
      <w:tcPr>
        <w:shd w:val="clear" w:color="auto" w:fill="FFF3F3" w:themeFill="accent4" w:themeFillTint="7F"/>
      </w:tcPr>
    </w:tblStylePr>
    <w:tblStylePr w:type="neCell">
      <w:rPr>
        <w:color w:val="FFFFFF" w:themeColor="text1"/>
      </w:rPr>
    </w:tblStylePr>
    <w:tblStylePr w:type="nwCell">
      <w:rPr>
        <w:color w:val="FFFFFF" w:themeColor="text1"/>
      </w:rPr>
    </w:tblStylePr>
  </w:style>
  <w:style w:type="table" w:styleId="ColorfulShading-Accent5">
    <w:name w:val="Colorful Shading Accent 5"/>
    <w:basedOn w:val="TableNormal"/>
    <w:uiPriority w:val="71"/>
    <w:pPr>
      <w:spacing w:after="0"/>
    </w:pPr>
    <w:rPr>
      <w:color w:val="FFFFFF" w:themeColor="text1"/>
    </w:rPr>
    <w:tblPr>
      <w:tblStyleRowBandSize w:val="1"/>
      <w:tblStyleColBandSize w:val="1"/>
      <w:tblBorders>
        <w:top w:val="single" w:sz="24" w:space="0" w:color="700015" w:themeColor="accent6"/>
        <w:left w:val="single" w:sz="4" w:space="0" w:color="FEDADD" w:themeColor="accent5"/>
        <w:bottom w:val="single" w:sz="4" w:space="0" w:color="FEDADD" w:themeColor="accent5"/>
        <w:right w:val="single" w:sz="4" w:space="0" w:color="FEDADD" w:themeColor="accent5"/>
        <w:insideH w:val="single" w:sz="4" w:space="0" w:color="FFFFFF" w:themeColor="background1"/>
        <w:insideV w:val="single" w:sz="4" w:space="0" w:color="FFFFFF" w:themeColor="background1"/>
      </w:tblBorders>
    </w:tblPr>
    <w:tcPr>
      <w:shd w:val="clear" w:color="auto" w:fill="FFFBFB" w:themeFill="accent5" w:themeFillTint="19"/>
    </w:tcPr>
    <w:tblStylePr w:type="firstRow">
      <w:rPr>
        <w:b/>
        <w:bCs/>
      </w:rPr>
      <w:tblPr/>
      <w:tcPr>
        <w:tcBorders>
          <w:top w:val="nil"/>
          <w:left w:val="nil"/>
          <w:bottom w:val="single" w:sz="24" w:space="0" w:color="700015"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F92233" w:themeFill="accent5" w:themeFillShade="99"/>
      </w:tcPr>
    </w:tblStylePr>
    <w:tblStylePr w:type="firstCol">
      <w:rPr>
        <w:color w:val="FFFFFF" w:themeColor="background1"/>
      </w:rPr>
      <w:tblPr/>
      <w:tcPr>
        <w:tcBorders>
          <w:top w:val="nil"/>
          <w:left w:val="nil"/>
          <w:bottom w:val="nil"/>
          <w:right w:val="nil"/>
          <w:insideH w:val="single" w:sz="4" w:space="0" w:color="F92233" w:themeColor="accent5" w:themeShade="99"/>
          <w:insideV w:val="nil"/>
        </w:tcBorders>
        <w:shd w:val="clear" w:color="auto" w:fill="F9223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F92233" w:themeFill="accent5" w:themeFillShade="99"/>
      </w:tcPr>
    </w:tblStylePr>
    <w:tblStylePr w:type="band1Vert">
      <w:tblPr/>
      <w:tcPr>
        <w:shd w:val="clear" w:color="auto" w:fill="FEF0F1" w:themeFill="accent5" w:themeFillTint="66"/>
      </w:tcPr>
    </w:tblStylePr>
    <w:tblStylePr w:type="band1Horz">
      <w:tblPr/>
      <w:tcPr>
        <w:shd w:val="clear" w:color="auto" w:fill="FEECED" w:themeFill="accent5" w:themeFillTint="7F"/>
      </w:tcPr>
    </w:tblStylePr>
    <w:tblStylePr w:type="neCell">
      <w:rPr>
        <w:color w:val="FFFFFF" w:themeColor="text1"/>
      </w:rPr>
    </w:tblStylePr>
    <w:tblStylePr w:type="nwCell">
      <w:rPr>
        <w:color w:val="FFFFFF" w:themeColor="text1"/>
      </w:rPr>
    </w:tblStylePr>
  </w:style>
  <w:style w:type="table" w:styleId="ColorfulShading-Accent6">
    <w:name w:val="Colorful Shading Accent 6"/>
    <w:basedOn w:val="TableNormal"/>
    <w:uiPriority w:val="71"/>
    <w:pPr>
      <w:spacing w:after="0"/>
    </w:pPr>
    <w:rPr>
      <w:color w:val="FFFFFF" w:themeColor="text1"/>
    </w:rPr>
    <w:tblPr>
      <w:tblStyleRowBandSize w:val="1"/>
      <w:tblStyleColBandSize w:val="1"/>
      <w:tblBorders>
        <w:top w:val="single" w:sz="24" w:space="0" w:color="FEDADD" w:themeColor="accent5"/>
        <w:left w:val="single" w:sz="4" w:space="0" w:color="700015" w:themeColor="accent6"/>
        <w:bottom w:val="single" w:sz="4" w:space="0" w:color="700015" w:themeColor="accent6"/>
        <w:right w:val="single" w:sz="4" w:space="0" w:color="700015" w:themeColor="accent6"/>
        <w:insideH w:val="single" w:sz="4" w:space="0" w:color="FFFFFF" w:themeColor="background1"/>
        <w:insideV w:val="single" w:sz="4" w:space="0" w:color="FFFFFF" w:themeColor="background1"/>
      </w:tblBorders>
    </w:tblPr>
    <w:tcPr>
      <w:shd w:val="clear" w:color="auto" w:fill="FFD7DE" w:themeFill="accent6" w:themeFillTint="19"/>
    </w:tcPr>
    <w:tblStylePr w:type="firstRow">
      <w:rPr>
        <w:b/>
        <w:bCs/>
      </w:rPr>
      <w:tblPr/>
      <w:tcPr>
        <w:tcBorders>
          <w:top w:val="nil"/>
          <w:left w:val="nil"/>
          <w:bottom w:val="single" w:sz="24" w:space="0" w:color="FEDADD"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000C" w:themeFill="accent6" w:themeFillShade="99"/>
      </w:tcPr>
    </w:tblStylePr>
    <w:tblStylePr w:type="firstCol">
      <w:rPr>
        <w:color w:val="FFFFFF" w:themeColor="background1"/>
      </w:rPr>
      <w:tblPr/>
      <w:tcPr>
        <w:tcBorders>
          <w:top w:val="nil"/>
          <w:left w:val="nil"/>
          <w:bottom w:val="nil"/>
          <w:right w:val="nil"/>
          <w:insideH w:val="single" w:sz="4" w:space="0" w:color="43000C" w:themeColor="accent6" w:themeShade="99"/>
          <w:insideV w:val="nil"/>
        </w:tcBorders>
        <w:shd w:val="clear" w:color="auto" w:fill="43000C"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000C" w:themeFill="accent6" w:themeFillShade="99"/>
      </w:tcPr>
    </w:tblStylePr>
    <w:tblStylePr w:type="band1Vert">
      <w:tblPr/>
      <w:tcPr>
        <w:shd w:val="clear" w:color="auto" w:fill="FF5F7D" w:themeFill="accent6" w:themeFillTint="66"/>
      </w:tcPr>
    </w:tblStylePr>
    <w:tblStylePr w:type="band1Horz">
      <w:tblPr/>
      <w:tcPr>
        <w:shd w:val="clear" w:color="auto" w:fill="FF385D" w:themeFill="accent6" w:themeFillTint="7F"/>
      </w:tcPr>
    </w:tblStylePr>
    <w:tblStylePr w:type="neCell">
      <w:rPr>
        <w:color w:val="FFFFFF" w:themeColor="text1"/>
      </w:rPr>
    </w:tblStylePr>
    <w:tblStylePr w:type="nwCell">
      <w:rPr>
        <w:color w:val="FFFFFF" w:themeColor="text1"/>
      </w:rPr>
    </w:tblStylePr>
  </w:style>
  <w:style w:type="character" w:styleId="CommentReference">
    <w:name w:val="annotation reference"/>
    <w:basedOn w:val="DefaultParagraphFont"/>
    <w:uiPriority w:val="99"/>
    <w:unhideWhenUsed/>
    <w:rPr>
      <w:sz w:val="16"/>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rPr>
      <w:sz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sz w:val="20"/>
    </w:rPr>
  </w:style>
  <w:style w:type="table" w:styleId="DarkList">
    <w:name w:val="Dark List"/>
    <w:basedOn w:val="TableNormal"/>
    <w:uiPriority w:val="70"/>
    <w:pPr>
      <w:spacing w:after="0"/>
    </w:pPr>
    <w:rPr>
      <w:color w:val="FFFFFF" w:themeColor="background1"/>
    </w:rPr>
    <w:tblPr>
      <w:tblStyleRowBandSize w:val="1"/>
      <w:tblStyleColBandSize w:val="1"/>
    </w:tblPr>
    <w:tcPr>
      <w:shd w:val="clear" w:color="auto" w:fill="FFFFFF" w:themeFill="text1"/>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7F7F7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BFBFBF"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BFBFBF" w:themeFill="text1" w:themeFillShade="BF"/>
      </w:tcPr>
    </w:tblStylePr>
    <w:tblStylePr w:type="band1Vert">
      <w:tblPr/>
      <w:tcPr>
        <w:tcBorders>
          <w:top w:val="nil"/>
          <w:left w:val="nil"/>
          <w:bottom w:val="nil"/>
          <w:right w:val="nil"/>
          <w:insideH w:val="nil"/>
          <w:insideV w:val="nil"/>
        </w:tcBorders>
        <w:shd w:val="clear" w:color="auto" w:fill="BFBFBF" w:themeFill="text1" w:themeFillShade="BF"/>
      </w:tcPr>
    </w:tblStylePr>
    <w:tblStylePr w:type="band1Horz">
      <w:tblPr/>
      <w:tcPr>
        <w:tcBorders>
          <w:top w:val="nil"/>
          <w:left w:val="nil"/>
          <w:bottom w:val="nil"/>
          <w:right w:val="nil"/>
          <w:insideH w:val="nil"/>
          <w:insideV w:val="nil"/>
        </w:tcBorders>
        <w:shd w:val="clear" w:color="auto" w:fill="BFBFBF" w:themeFill="text1" w:themeFillShade="BF"/>
      </w:tcPr>
    </w:tblStylePr>
  </w:style>
  <w:style w:type="table" w:styleId="DarkList-Accent1">
    <w:name w:val="Dark List Accent 1"/>
    <w:basedOn w:val="TableNormal"/>
    <w:uiPriority w:val="70"/>
    <w:pPr>
      <w:spacing w:after="0"/>
    </w:pPr>
    <w:rPr>
      <w:color w:val="FFFFFF" w:themeColor="background1"/>
    </w:rPr>
    <w:tblPr>
      <w:tblStyleRowBandSize w:val="1"/>
      <w:tblStyleColBandSize w:val="1"/>
    </w:tblPr>
    <w:tcPr>
      <w:shd w:val="clear" w:color="auto" w:fill="0000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accent1" w:themeFillShade="BF"/>
      </w:tcPr>
    </w:tblStylePr>
    <w:tblStylePr w:type="band1Vert">
      <w:tblPr/>
      <w:tcPr>
        <w:tcBorders>
          <w:top w:val="nil"/>
          <w:left w:val="nil"/>
          <w:bottom w:val="nil"/>
          <w:right w:val="nil"/>
          <w:insideH w:val="nil"/>
          <w:insideV w:val="nil"/>
        </w:tcBorders>
        <w:shd w:val="clear" w:color="auto" w:fill="000000" w:themeFill="accent1" w:themeFillShade="BF"/>
      </w:tcPr>
    </w:tblStylePr>
    <w:tblStylePr w:type="band1Horz">
      <w:tblPr/>
      <w:tcPr>
        <w:tcBorders>
          <w:top w:val="nil"/>
          <w:left w:val="nil"/>
          <w:bottom w:val="nil"/>
          <w:right w:val="nil"/>
          <w:insideH w:val="nil"/>
          <w:insideV w:val="nil"/>
        </w:tcBorders>
        <w:shd w:val="clear" w:color="auto" w:fill="000000" w:themeFill="accent1" w:themeFillShade="BF"/>
      </w:tcPr>
    </w:tblStylePr>
  </w:style>
  <w:style w:type="table" w:styleId="DarkList-Accent2">
    <w:name w:val="Dark List Accent 2"/>
    <w:basedOn w:val="TableNormal"/>
    <w:uiPriority w:val="70"/>
    <w:pPr>
      <w:spacing w:after="0"/>
    </w:pPr>
    <w:rPr>
      <w:color w:val="FFFFFF" w:themeColor="background1"/>
    </w:rPr>
    <w:tblPr>
      <w:tblStyleRowBandSize w:val="1"/>
      <w:tblStyleColBandSize w:val="1"/>
    </w:tblPr>
    <w:tcPr>
      <w:shd w:val="clear" w:color="auto" w:fill="A5002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52001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B001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B0018" w:themeFill="accent2" w:themeFillShade="BF"/>
      </w:tcPr>
    </w:tblStylePr>
    <w:tblStylePr w:type="band1Vert">
      <w:tblPr/>
      <w:tcPr>
        <w:tcBorders>
          <w:top w:val="nil"/>
          <w:left w:val="nil"/>
          <w:bottom w:val="nil"/>
          <w:right w:val="nil"/>
          <w:insideH w:val="nil"/>
          <w:insideV w:val="nil"/>
        </w:tcBorders>
        <w:shd w:val="clear" w:color="auto" w:fill="7B0018" w:themeFill="accent2" w:themeFillShade="BF"/>
      </w:tcPr>
    </w:tblStylePr>
    <w:tblStylePr w:type="band1Horz">
      <w:tblPr/>
      <w:tcPr>
        <w:tcBorders>
          <w:top w:val="nil"/>
          <w:left w:val="nil"/>
          <w:bottom w:val="nil"/>
          <w:right w:val="nil"/>
          <w:insideH w:val="nil"/>
          <w:insideV w:val="nil"/>
        </w:tcBorders>
        <w:shd w:val="clear" w:color="auto" w:fill="7B0018" w:themeFill="accent2" w:themeFillShade="BF"/>
      </w:tcPr>
    </w:tblStylePr>
  </w:style>
  <w:style w:type="table" w:styleId="DarkList-Accent3">
    <w:name w:val="Dark List Accent 3"/>
    <w:basedOn w:val="TableNormal"/>
    <w:uiPriority w:val="70"/>
    <w:pPr>
      <w:spacing w:after="0"/>
    </w:pPr>
    <w:rPr>
      <w:color w:val="FFFFFF" w:themeColor="background1"/>
    </w:rPr>
    <w:tblPr>
      <w:tblStyleRowBandSize w:val="1"/>
      <w:tblStyleColBandSize w:val="1"/>
    </w:tblPr>
    <w:tcPr>
      <w:shd w:val="clear" w:color="auto" w:fill="FDB5BA"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D2051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FA4A56"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FA4A56" w:themeFill="accent3" w:themeFillShade="BF"/>
      </w:tcPr>
    </w:tblStylePr>
    <w:tblStylePr w:type="band1Vert">
      <w:tblPr/>
      <w:tcPr>
        <w:tcBorders>
          <w:top w:val="nil"/>
          <w:left w:val="nil"/>
          <w:bottom w:val="nil"/>
          <w:right w:val="nil"/>
          <w:insideH w:val="nil"/>
          <w:insideV w:val="nil"/>
        </w:tcBorders>
        <w:shd w:val="clear" w:color="auto" w:fill="FA4A56" w:themeFill="accent3" w:themeFillShade="BF"/>
      </w:tcPr>
    </w:tblStylePr>
    <w:tblStylePr w:type="band1Horz">
      <w:tblPr/>
      <w:tcPr>
        <w:tcBorders>
          <w:top w:val="nil"/>
          <w:left w:val="nil"/>
          <w:bottom w:val="nil"/>
          <w:right w:val="nil"/>
          <w:insideH w:val="nil"/>
          <w:insideV w:val="nil"/>
        </w:tcBorders>
        <w:shd w:val="clear" w:color="auto" w:fill="FA4A56" w:themeFill="accent3" w:themeFillShade="BF"/>
      </w:tcPr>
    </w:tblStylePr>
  </w:style>
  <w:style w:type="table" w:styleId="DarkList-Accent4">
    <w:name w:val="Dark List Accent 4"/>
    <w:basedOn w:val="TableNormal"/>
    <w:uiPriority w:val="70"/>
    <w:pPr>
      <w:spacing w:after="0"/>
    </w:pPr>
    <w:rPr>
      <w:color w:val="FFFFFF" w:themeColor="background1"/>
    </w:rPr>
    <w:tblPr>
      <w:tblStyleRowBandSize w:val="1"/>
      <w:tblStyleColBandSize w:val="1"/>
    </w:tblPr>
    <w:tcPr>
      <w:shd w:val="clear" w:color="auto" w:fill="FFE7E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F20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FF6D6D"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FF6D6D" w:themeFill="accent4" w:themeFillShade="BF"/>
      </w:tcPr>
    </w:tblStylePr>
    <w:tblStylePr w:type="band1Vert">
      <w:tblPr/>
      <w:tcPr>
        <w:tcBorders>
          <w:top w:val="nil"/>
          <w:left w:val="nil"/>
          <w:bottom w:val="nil"/>
          <w:right w:val="nil"/>
          <w:insideH w:val="nil"/>
          <w:insideV w:val="nil"/>
        </w:tcBorders>
        <w:shd w:val="clear" w:color="auto" w:fill="FF6D6D" w:themeFill="accent4" w:themeFillShade="BF"/>
      </w:tcPr>
    </w:tblStylePr>
    <w:tblStylePr w:type="band1Horz">
      <w:tblPr/>
      <w:tcPr>
        <w:tcBorders>
          <w:top w:val="nil"/>
          <w:left w:val="nil"/>
          <w:bottom w:val="nil"/>
          <w:right w:val="nil"/>
          <w:insideH w:val="nil"/>
          <w:insideV w:val="nil"/>
        </w:tcBorders>
        <w:shd w:val="clear" w:color="auto" w:fill="FF6D6D" w:themeFill="accent4" w:themeFillShade="BF"/>
      </w:tcPr>
    </w:tblStylePr>
  </w:style>
  <w:style w:type="table" w:styleId="DarkList-Accent5">
    <w:name w:val="Dark List Accent 5"/>
    <w:basedOn w:val="TableNormal"/>
    <w:uiPriority w:val="70"/>
    <w:pPr>
      <w:spacing w:after="0"/>
    </w:pPr>
    <w:rPr>
      <w:color w:val="FFFFFF" w:themeColor="background1"/>
    </w:rPr>
    <w:tblPr>
      <w:tblStyleRowBandSize w:val="1"/>
      <w:tblStyleColBandSize w:val="1"/>
    </w:tblPr>
    <w:tcPr>
      <w:shd w:val="clear" w:color="auto" w:fill="FEDADD"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E4061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FB667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FB6672" w:themeFill="accent5" w:themeFillShade="BF"/>
      </w:tcPr>
    </w:tblStylePr>
    <w:tblStylePr w:type="band1Vert">
      <w:tblPr/>
      <w:tcPr>
        <w:tcBorders>
          <w:top w:val="nil"/>
          <w:left w:val="nil"/>
          <w:bottom w:val="nil"/>
          <w:right w:val="nil"/>
          <w:insideH w:val="nil"/>
          <w:insideV w:val="nil"/>
        </w:tcBorders>
        <w:shd w:val="clear" w:color="auto" w:fill="FB6672" w:themeFill="accent5" w:themeFillShade="BF"/>
      </w:tcPr>
    </w:tblStylePr>
    <w:tblStylePr w:type="band1Horz">
      <w:tblPr/>
      <w:tcPr>
        <w:tcBorders>
          <w:top w:val="nil"/>
          <w:left w:val="nil"/>
          <w:bottom w:val="nil"/>
          <w:right w:val="nil"/>
          <w:insideH w:val="nil"/>
          <w:insideV w:val="nil"/>
        </w:tcBorders>
        <w:shd w:val="clear" w:color="auto" w:fill="FB6672" w:themeFill="accent5" w:themeFillShade="BF"/>
      </w:tcPr>
    </w:tblStylePr>
  </w:style>
  <w:style w:type="table" w:styleId="DarkList-Accent6">
    <w:name w:val="Dark List Accent 6"/>
    <w:basedOn w:val="TableNormal"/>
    <w:uiPriority w:val="70"/>
    <w:pPr>
      <w:spacing w:after="0"/>
    </w:pPr>
    <w:rPr>
      <w:color w:val="FFFFFF" w:themeColor="background1"/>
    </w:rPr>
    <w:tblPr>
      <w:tblStyleRowBandSize w:val="1"/>
      <w:tblStyleColBandSize w:val="1"/>
    </w:tblPr>
    <w:tcPr>
      <w:shd w:val="clear" w:color="auto" w:fill="700015"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FFFFFF" w:themeFill="text1"/>
      </w:tcPr>
    </w:tblStylePr>
    <w:tblStylePr w:type="lastRow">
      <w:tblPr/>
      <w:tcPr>
        <w:tcBorders>
          <w:top w:val="single" w:sz="18" w:space="0" w:color="FFFFFF" w:themeColor="background1"/>
          <w:left w:val="nil"/>
          <w:bottom w:val="nil"/>
          <w:right w:val="nil"/>
          <w:insideH w:val="nil"/>
          <w:insideV w:val="nil"/>
        </w:tcBorders>
        <w:shd w:val="clear" w:color="auto" w:fill="37000A"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000F"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000F" w:themeFill="accent6" w:themeFillShade="BF"/>
      </w:tcPr>
    </w:tblStylePr>
    <w:tblStylePr w:type="band1Vert">
      <w:tblPr/>
      <w:tcPr>
        <w:tcBorders>
          <w:top w:val="nil"/>
          <w:left w:val="nil"/>
          <w:bottom w:val="nil"/>
          <w:right w:val="nil"/>
          <w:insideH w:val="nil"/>
          <w:insideV w:val="nil"/>
        </w:tcBorders>
        <w:shd w:val="clear" w:color="auto" w:fill="53000F" w:themeFill="accent6" w:themeFillShade="BF"/>
      </w:tcPr>
    </w:tblStylePr>
    <w:tblStylePr w:type="band1Horz">
      <w:tblPr/>
      <w:tcPr>
        <w:tcBorders>
          <w:top w:val="nil"/>
          <w:left w:val="nil"/>
          <w:bottom w:val="nil"/>
          <w:right w:val="nil"/>
          <w:insideH w:val="nil"/>
          <w:insideV w:val="nil"/>
        </w:tcBorders>
        <w:shd w:val="clear" w:color="auto" w:fill="53000F" w:themeFill="accent6" w:themeFillShade="BF"/>
      </w:tcPr>
    </w:tblStylePr>
  </w:style>
  <w:style w:type="paragraph" w:styleId="Date">
    <w:name w:val="Date"/>
    <w:basedOn w:val="Normal"/>
    <w:next w:val="Normal"/>
    <w:link w:val="DateChar"/>
    <w:uiPriority w:val="99"/>
    <w:semiHidden/>
    <w:unhideWhenUsed/>
  </w:style>
  <w:style w:type="character" w:customStyle="1" w:styleId="DateChar">
    <w:name w:val="Date Char"/>
    <w:basedOn w:val="DefaultParagraphFont"/>
    <w:link w:val="Date"/>
    <w:uiPriority w:val="99"/>
    <w:semiHidden/>
  </w:style>
  <w:style w:type="paragraph" w:styleId="DocumentMap">
    <w:name w:val="Document Map"/>
    <w:basedOn w:val="Normal"/>
    <w:link w:val="DocumentMapChar"/>
    <w:uiPriority w:val="99"/>
    <w:semiHidden/>
    <w:unhideWhenUsed/>
    <w:pPr>
      <w:spacing w:after="0"/>
    </w:pPr>
    <w:rPr>
      <w:rFonts w:ascii="Tahoma" w:hAnsi="Tahoma" w:cs="Tahoma"/>
      <w:sz w:val="16"/>
    </w:rPr>
  </w:style>
  <w:style w:type="character" w:customStyle="1" w:styleId="DocumentMapChar">
    <w:name w:val="Document Map Char"/>
    <w:basedOn w:val="DefaultParagraphFont"/>
    <w:link w:val="DocumentMap"/>
    <w:uiPriority w:val="99"/>
    <w:semiHidden/>
    <w:rPr>
      <w:rFonts w:ascii="Tahoma" w:hAnsi="Tahoma" w:cs="Tahoma"/>
      <w:sz w:val="16"/>
    </w:rPr>
  </w:style>
  <w:style w:type="paragraph" w:styleId="E-mailSignature">
    <w:name w:val="E-mail Signature"/>
    <w:basedOn w:val="Normal"/>
    <w:link w:val="E-mailSignatureChar"/>
    <w:uiPriority w:val="99"/>
    <w:semiHidden/>
    <w:unhideWhenUsed/>
    <w:pPr>
      <w:spacing w:after="0"/>
    </w:pPr>
  </w:style>
  <w:style w:type="character" w:customStyle="1" w:styleId="E-mailSignatureChar">
    <w:name w:val="E-mail Signature Char"/>
    <w:basedOn w:val="DefaultParagraphFont"/>
    <w:link w:val="E-mailSignature"/>
    <w:uiPriority w:val="99"/>
    <w:semiHidden/>
  </w:style>
  <w:style w:type="character" w:styleId="Emphasis">
    <w:name w:val="Emphasis"/>
    <w:basedOn w:val="DefaultParagraphFont"/>
    <w:uiPriority w:val="20"/>
    <w:semiHidden/>
    <w:unhideWhenUsed/>
    <w:rPr>
      <w:i/>
      <w:iCs/>
    </w:rPr>
  </w:style>
  <w:style w:type="character" w:styleId="EndnoteReference">
    <w:name w:val="endnote reference"/>
    <w:basedOn w:val="DefaultParagraphFont"/>
    <w:uiPriority w:val="99"/>
    <w:semiHidden/>
    <w:unhideWhenUsed/>
    <w:rPr>
      <w:vertAlign w:val="superscript"/>
    </w:rPr>
  </w:style>
  <w:style w:type="paragraph" w:styleId="EndnoteText">
    <w:name w:val="endnote text"/>
    <w:basedOn w:val="Normal"/>
    <w:link w:val="EndnoteTextChar"/>
    <w:uiPriority w:val="99"/>
    <w:semiHidden/>
    <w:unhideWhenUsed/>
    <w:pPr>
      <w:spacing w:after="0"/>
    </w:pPr>
  </w:style>
  <w:style w:type="character" w:customStyle="1" w:styleId="EndnoteTextChar">
    <w:name w:val="Endnote Text Char"/>
    <w:basedOn w:val="DefaultParagraphFont"/>
    <w:link w:val="EndnoteText"/>
    <w:uiPriority w:val="99"/>
    <w:semiHidden/>
    <w:rPr>
      <w:sz w:val="20"/>
    </w:rPr>
  </w:style>
  <w:style w:type="paragraph" w:styleId="EnvelopeAddress">
    <w:name w:val="envelope address"/>
    <w:basedOn w:val="Normal"/>
    <w:uiPriority w:val="99"/>
    <w:semiHidden/>
    <w:unhideWhenUsed/>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pPr>
      <w:spacing w:after="0"/>
    </w:pPr>
    <w:rPr>
      <w:rFonts w:asciiTheme="majorHAnsi" w:eastAsiaTheme="majorEastAsia" w:hAnsiTheme="majorHAnsi" w:cstheme="majorBidi"/>
    </w:rPr>
  </w:style>
  <w:style w:type="character" w:styleId="FollowedHyperlink">
    <w:name w:val="FollowedHyperlink"/>
    <w:basedOn w:val="DefaultParagraphFont"/>
    <w:uiPriority w:val="99"/>
    <w:semiHidden/>
    <w:unhideWhenUsed/>
    <w:rPr>
      <w:color w:val="C00000" w:themeColor="followedHyperlink"/>
      <w:u w:val="single"/>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pPr>
  </w:style>
  <w:style w:type="character" w:customStyle="1" w:styleId="FootnoteTextChar">
    <w:name w:val="Footnote Text Char"/>
    <w:basedOn w:val="DefaultParagraphFont"/>
    <w:link w:val="FootnoteText"/>
    <w:uiPriority w:val="99"/>
    <w:semiHidden/>
    <w:rPr>
      <w:sz w:val="20"/>
    </w:rPr>
  </w:style>
  <w:style w:type="character" w:customStyle="1" w:styleId="Heading3Char">
    <w:name w:val="Heading 3 Char"/>
    <w:basedOn w:val="DefaultParagraphFont"/>
    <w:link w:val="Heading3"/>
    <w:uiPriority w:val="1"/>
    <w:rsid w:val="006D0FF1"/>
    <w:rPr>
      <w:rFonts w:ascii="Arial" w:eastAsia="Calibri" w:hAnsi="Arial"/>
      <w:b/>
      <w:bCs/>
      <w:color w:val="auto"/>
      <w:sz w:val="32"/>
      <w:szCs w:val="32"/>
      <w:u w:val="none"/>
      <w:lang w:val="en-AU"/>
      <w14:ligatures w14:val="standardContextual"/>
    </w:rPr>
  </w:style>
  <w:style w:type="character" w:customStyle="1" w:styleId="Heading4Char">
    <w:name w:val="Heading 4 Char"/>
    <w:basedOn w:val="DefaultParagraphFont"/>
    <w:link w:val="Heading4"/>
    <w:uiPriority w:val="18"/>
    <w:rsid w:val="008258DF"/>
    <w:rPr>
      <w:rFonts w:ascii="Arial" w:eastAsiaTheme="majorEastAsia" w:hAnsi="Arial" w:cstheme="majorBidi"/>
      <w:bCs/>
      <w:iCs/>
      <w:color w:val="FFFFFF" w:themeColor="background1"/>
      <w:sz w:val="36"/>
      <w:u w:val="none"/>
      <w:shd w:val="clear" w:color="auto" w:fill="AB054C"/>
    </w:rPr>
  </w:style>
  <w:style w:type="character" w:customStyle="1" w:styleId="Heading5Char">
    <w:name w:val="Heading 5 Char"/>
    <w:basedOn w:val="DefaultParagraphFont"/>
    <w:link w:val="Heading5"/>
    <w:uiPriority w:val="18"/>
    <w:semiHidden/>
    <w:rPr>
      <w:rFonts w:asciiTheme="majorHAnsi" w:eastAsiaTheme="majorEastAsia" w:hAnsiTheme="majorHAnsi" w:cstheme="majorBidi"/>
      <w:color w:val="000000" w:themeColor="accent1" w:themeShade="7F"/>
      <w:kern w:val="20"/>
    </w:rPr>
  </w:style>
  <w:style w:type="character" w:customStyle="1" w:styleId="Heading6Char">
    <w:name w:val="Heading 6 Char"/>
    <w:basedOn w:val="DefaultParagraphFont"/>
    <w:link w:val="Heading6"/>
    <w:uiPriority w:val="18"/>
    <w:semiHidden/>
    <w:rPr>
      <w:rFonts w:asciiTheme="majorHAnsi" w:eastAsiaTheme="majorEastAsia" w:hAnsiTheme="majorHAnsi" w:cstheme="majorBidi"/>
      <w:i/>
      <w:iCs/>
      <w:color w:val="000000" w:themeColor="accent1" w:themeShade="7F"/>
      <w:kern w:val="20"/>
    </w:rPr>
  </w:style>
  <w:style w:type="character" w:customStyle="1" w:styleId="Heading7Char">
    <w:name w:val="Heading 7 Char"/>
    <w:basedOn w:val="DefaultParagraphFont"/>
    <w:link w:val="Heading7"/>
    <w:uiPriority w:val="18"/>
    <w:semiHidden/>
    <w:rPr>
      <w:rFonts w:asciiTheme="majorHAnsi" w:eastAsiaTheme="majorEastAsia" w:hAnsiTheme="majorHAnsi" w:cstheme="majorBidi"/>
      <w:i/>
      <w:iCs/>
      <w:color w:val="FFFFFF" w:themeColor="text1" w:themeTint="BF"/>
      <w:kern w:val="20"/>
    </w:rPr>
  </w:style>
  <w:style w:type="character" w:customStyle="1" w:styleId="Heading8Char">
    <w:name w:val="Heading 8 Char"/>
    <w:basedOn w:val="DefaultParagraphFont"/>
    <w:link w:val="Heading8"/>
    <w:uiPriority w:val="18"/>
    <w:semiHidden/>
    <w:rPr>
      <w:rFonts w:asciiTheme="majorHAnsi" w:eastAsiaTheme="majorEastAsia" w:hAnsiTheme="majorHAnsi" w:cstheme="majorBidi"/>
      <w:color w:val="FFFFFF" w:themeColor="text1" w:themeTint="BF"/>
      <w:kern w:val="20"/>
    </w:rPr>
  </w:style>
  <w:style w:type="character" w:customStyle="1" w:styleId="Heading9Char">
    <w:name w:val="Heading 9 Char"/>
    <w:basedOn w:val="DefaultParagraphFont"/>
    <w:link w:val="Heading9"/>
    <w:uiPriority w:val="18"/>
    <w:semiHidden/>
    <w:rPr>
      <w:rFonts w:asciiTheme="majorHAnsi" w:eastAsiaTheme="majorEastAsia" w:hAnsiTheme="majorHAnsi" w:cstheme="majorBidi"/>
      <w:i/>
      <w:iCs/>
      <w:color w:val="FFFFFF" w:themeColor="text1" w:themeTint="BF"/>
      <w:kern w:val="20"/>
    </w:rPr>
  </w:style>
  <w:style w:type="character" w:styleId="HTMLAcronym">
    <w:name w:val="HTML Acronym"/>
    <w:basedOn w:val="DefaultParagraphFont"/>
    <w:uiPriority w:val="99"/>
    <w:semiHidden/>
    <w:unhideWhenUsed/>
  </w:style>
  <w:style w:type="paragraph" w:styleId="HTMLAddress">
    <w:name w:val="HTML Address"/>
    <w:basedOn w:val="Normal"/>
    <w:link w:val="HTMLAddressChar"/>
    <w:uiPriority w:val="99"/>
    <w:semiHidden/>
    <w:unhideWhenUsed/>
    <w:pPr>
      <w:spacing w:after="0"/>
    </w:pPr>
    <w:rPr>
      <w:i/>
      <w:iCs/>
    </w:rPr>
  </w:style>
  <w:style w:type="character" w:customStyle="1" w:styleId="HTMLAddressChar">
    <w:name w:val="HTML Address Char"/>
    <w:basedOn w:val="DefaultParagraphFont"/>
    <w:link w:val="HTMLAddress"/>
    <w:uiPriority w:val="99"/>
    <w:semiHidden/>
    <w:rPr>
      <w:i/>
      <w:iCs/>
    </w:rPr>
  </w:style>
  <w:style w:type="character" w:styleId="HTMLCite">
    <w:name w:val="HTML Cite"/>
    <w:basedOn w:val="DefaultParagraphFont"/>
    <w:uiPriority w:val="99"/>
    <w:semiHidden/>
    <w:unhideWhenUsed/>
    <w:rPr>
      <w:i/>
      <w:iCs/>
    </w:rPr>
  </w:style>
  <w:style w:type="character" w:styleId="HTMLCode">
    <w:name w:val="HTML Code"/>
    <w:basedOn w:val="DefaultParagraphFont"/>
    <w:uiPriority w:val="99"/>
    <w:semiHidden/>
    <w:unhideWhenUsed/>
    <w:rPr>
      <w:rFonts w:ascii="Consolas" w:hAnsi="Consolas" w:cs="Consolas"/>
      <w:sz w:val="20"/>
    </w:rPr>
  </w:style>
  <w:style w:type="character" w:styleId="HTMLDefinition">
    <w:name w:val="HTML Definition"/>
    <w:basedOn w:val="DefaultParagraphFont"/>
    <w:uiPriority w:val="99"/>
    <w:semiHidden/>
    <w:unhideWhenUsed/>
    <w:rPr>
      <w:i/>
      <w:iCs/>
    </w:rPr>
  </w:style>
  <w:style w:type="character" w:styleId="HTMLKeyboard">
    <w:name w:val="HTML Keyboard"/>
    <w:basedOn w:val="DefaultParagraphFont"/>
    <w:uiPriority w:val="99"/>
    <w:semiHidden/>
    <w:unhideWhenUsed/>
    <w:rPr>
      <w:rFonts w:ascii="Consolas" w:hAnsi="Consolas" w:cs="Consolas"/>
      <w:sz w:val="20"/>
    </w:rPr>
  </w:style>
  <w:style w:type="paragraph" w:styleId="HTMLPreformatted">
    <w:name w:val="HTML Preformatted"/>
    <w:basedOn w:val="Normal"/>
    <w:link w:val="HTMLPreformattedChar"/>
    <w:uiPriority w:val="99"/>
    <w:semiHidden/>
    <w:unhideWhenUsed/>
    <w:pPr>
      <w:spacing w:after="0"/>
    </w:pPr>
    <w:rPr>
      <w:rFonts w:ascii="Consolas" w:hAnsi="Consolas" w:cs="Consolas"/>
    </w:rPr>
  </w:style>
  <w:style w:type="character" w:customStyle="1" w:styleId="HTMLPreformattedChar">
    <w:name w:val="HTML Preformatted Char"/>
    <w:basedOn w:val="DefaultParagraphFont"/>
    <w:link w:val="HTMLPreformatted"/>
    <w:uiPriority w:val="99"/>
    <w:semiHidden/>
    <w:rPr>
      <w:rFonts w:ascii="Consolas" w:hAnsi="Consolas" w:cs="Consolas"/>
      <w:sz w:val="20"/>
    </w:rPr>
  </w:style>
  <w:style w:type="character" w:styleId="HTMLSample">
    <w:name w:val="HTML Sample"/>
    <w:basedOn w:val="DefaultParagraphFont"/>
    <w:uiPriority w:val="99"/>
    <w:semiHidden/>
    <w:unhideWhenUsed/>
    <w:rPr>
      <w:rFonts w:ascii="Consolas" w:hAnsi="Consolas" w:cs="Consolas"/>
      <w:sz w:val="24"/>
    </w:rPr>
  </w:style>
  <w:style w:type="character" w:styleId="HTMLTypewriter">
    <w:name w:val="HTML Typewriter"/>
    <w:basedOn w:val="DefaultParagraphFont"/>
    <w:uiPriority w:val="99"/>
    <w:semiHidden/>
    <w:unhideWhenUsed/>
    <w:rPr>
      <w:rFonts w:ascii="Consolas" w:hAnsi="Consolas" w:cs="Consolas"/>
      <w:sz w:val="20"/>
    </w:rPr>
  </w:style>
  <w:style w:type="character" w:styleId="HTMLVariable">
    <w:name w:val="HTML Variable"/>
    <w:basedOn w:val="DefaultParagraphFont"/>
    <w:uiPriority w:val="99"/>
    <w:semiHidden/>
    <w:unhideWhenUsed/>
    <w:rPr>
      <w:i/>
      <w:iCs/>
    </w:rPr>
  </w:style>
  <w:style w:type="character" w:styleId="Hyperlink">
    <w:name w:val="Hyperlink"/>
    <w:basedOn w:val="DefaultParagraphFont"/>
    <w:uiPriority w:val="99"/>
    <w:unhideWhenUsed/>
    <w:rsid w:val="005B394F"/>
    <w:rPr>
      <w:rFonts w:ascii="Arial" w:hAnsi="Arial"/>
      <w:i w:val="0"/>
      <w:color w:val="0070C0"/>
      <w:sz w:val="22"/>
      <w:u w:val="single"/>
    </w:rPr>
  </w:style>
  <w:style w:type="paragraph" w:styleId="Index1">
    <w:name w:val="index 1"/>
    <w:basedOn w:val="Normal"/>
    <w:next w:val="Normal"/>
    <w:autoRedefine/>
    <w:uiPriority w:val="99"/>
    <w:semiHidden/>
    <w:unhideWhenUsed/>
    <w:pPr>
      <w:spacing w:after="0"/>
      <w:ind w:left="220" w:hanging="220"/>
    </w:pPr>
  </w:style>
  <w:style w:type="paragraph" w:styleId="Index2">
    <w:name w:val="index 2"/>
    <w:basedOn w:val="Normal"/>
    <w:next w:val="Normal"/>
    <w:autoRedefine/>
    <w:uiPriority w:val="99"/>
    <w:semiHidden/>
    <w:unhideWhenUsed/>
    <w:pPr>
      <w:spacing w:after="0"/>
      <w:ind w:left="440" w:hanging="220"/>
    </w:pPr>
  </w:style>
  <w:style w:type="paragraph" w:styleId="Index3">
    <w:name w:val="index 3"/>
    <w:basedOn w:val="Normal"/>
    <w:next w:val="Normal"/>
    <w:autoRedefine/>
    <w:uiPriority w:val="99"/>
    <w:semiHidden/>
    <w:unhideWhenUsed/>
    <w:pPr>
      <w:spacing w:after="0"/>
      <w:ind w:left="660" w:hanging="220"/>
    </w:pPr>
  </w:style>
  <w:style w:type="paragraph" w:styleId="Index4">
    <w:name w:val="index 4"/>
    <w:basedOn w:val="Normal"/>
    <w:next w:val="Normal"/>
    <w:autoRedefine/>
    <w:uiPriority w:val="99"/>
    <w:semiHidden/>
    <w:unhideWhenUsed/>
    <w:pPr>
      <w:spacing w:after="0"/>
      <w:ind w:left="880" w:hanging="220"/>
    </w:pPr>
  </w:style>
  <w:style w:type="paragraph" w:styleId="Index5">
    <w:name w:val="index 5"/>
    <w:basedOn w:val="Normal"/>
    <w:next w:val="Normal"/>
    <w:autoRedefine/>
    <w:uiPriority w:val="99"/>
    <w:semiHidden/>
    <w:unhideWhenUsed/>
    <w:pPr>
      <w:spacing w:after="0"/>
      <w:ind w:left="1100" w:hanging="220"/>
    </w:pPr>
  </w:style>
  <w:style w:type="paragraph" w:styleId="Index6">
    <w:name w:val="index 6"/>
    <w:basedOn w:val="Normal"/>
    <w:next w:val="Normal"/>
    <w:autoRedefine/>
    <w:uiPriority w:val="99"/>
    <w:semiHidden/>
    <w:unhideWhenUsed/>
    <w:pPr>
      <w:spacing w:after="0"/>
      <w:ind w:left="1320" w:hanging="220"/>
    </w:pPr>
  </w:style>
  <w:style w:type="paragraph" w:styleId="Index7">
    <w:name w:val="index 7"/>
    <w:basedOn w:val="Normal"/>
    <w:next w:val="Normal"/>
    <w:autoRedefine/>
    <w:uiPriority w:val="99"/>
    <w:semiHidden/>
    <w:unhideWhenUsed/>
    <w:pPr>
      <w:spacing w:after="0"/>
      <w:ind w:left="1540" w:hanging="220"/>
    </w:pPr>
  </w:style>
  <w:style w:type="paragraph" w:styleId="Index8">
    <w:name w:val="index 8"/>
    <w:basedOn w:val="Normal"/>
    <w:next w:val="Normal"/>
    <w:autoRedefine/>
    <w:uiPriority w:val="99"/>
    <w:semiHidden/>
    <w:unhideWhenUsed/>
    <w:pPr>
      <w:spacing w:after="0"/>
      <w:ind w:left="1760" w:hanging="220"/>
    </w:pPr>
  </w:style>
  <w:style w:type="paragraph" w:styleId="Index9">
    <w:name w:val="index 9"/>
    <w:basedOn w:val="Normal"/>
    <w:next w:val="Normal"/>
    <w:autoRedefine/>
    <w:uiPriority w:val="99"/>
    <w:semiHidden/>
    <w:unhideWhenUsed/>
    <w:pPr>
      <w:spacing w:after="0"/>
      <w:ind w:left="1980" w:hanging="220"/>
    </w:pPr>
  </w:style>
  <w:style w:type="paragraph" w:styleId="IndexHeading">
    <w:name w:val="index heading"/>
    <w:basedOn w:val="Normal"/>
    <w:next w:val="Index1"/>
    <w:uiPriority w:val="99"/>
    <w:semiHidden/>
    <w:unhideWhenUsed/>
    <w:rPr>
      <w:rFonts w:asciiTheme="majorHAnsi" w:eastAsiaTheme="majorEastAsia" w:hAnsiTheme="majorHAnsi" w:cstheme="majorBidi"/>
      <w:b/>
      <w:bCs/>
    </w:rPr>
  </w:style>
  <w:style w:type="character" w:styleId="IntenseEmphasis">
    <w:name w:val="Intense Emphasis"/>
    <w:basedOn w:val="DefaultParagraphFont"/>
    <w:uiPriority w:val="21"/>
    <w:semiHidden/>
    <w:unhideWhenUsed/>
    <w:rPr>
      <w:b/>
      <w:bCs/>
      <w:i/>
      <w:iCs/>
      <w:color w:val="000000" w:themeColor="accent1"/>
    </w:rPr>
  </w:style>
  <w:style w:type="paragraph" w:styleId="IntenseQuote">
    <w:name w:val="Intense Quote"/>
    <w:basedOn w:val="Normal"/>
    <w:next w:val="Normal"/>
    <w:link w:val="IntenseQuoteChar"/>
    <w:uiPriority w:val="30"/>
    <w:semiHidden/>
    <w:unhideWhenUsed/>
    <w:pPr>
      <w:pBdr>
        <w:bottom w:val="single" w:sz="4" w:space="4" w:color="000000" w:themeColor="accent1"/>
      </w:pBdr>
      <w:spacing w:before="200" w:after="280"/>
      <w:ind w:left="936" w:right="936"/>
    </w:pPr>
    <w:rPr>
      <w:b/>
      <w:bCs/>
      <w:i/>
      <w:iCs/>
      <w:color w:val="000000" w:themeColor="accent1"/>
    </w:rPr>
  </w:style>
  <w:style w:type="character" w:customStyle="1" w:styleId="IntenseQuoteChar">
    <w:name w:val="Intense Quote Char"/>
    <w:basedOn w:val="DefaultParagraphFont"/>
    <w:link w:val="IntenseQuote"/>
    <w:uiPriority w:val="30"/>
    <w:semiHidden/>
    <w:rPr>
      <w:b/>
      <w:bCs/>
      <w:i/>
      <w:iCs/>
      <w:color w:val="000000" w:themeColor="accent1"/>
    </w:rPr>
  </w:style>
  <w:style w:type="character" w:styleId="IntenseReference">
    <w:name w:val="Intense Reference"/>
    <w:basedOn w:val="DefaultParagraphFont"/>
    <w:uiPriority w:val="32"/>
    <w:semiHidden/>
    <w:unhideWhenUsed/>
    <w:rPr>
      <w:b/>
      <w:bCs/>
      <w:smallCaps/>
      <w:color w:val="A50021" w:themeColor="accent2"/>
      <w:spacing w:val="5"/>
      <w:u w:val="single"/>
    </w:rPr>
  </w:style>
  <w:style w:type="table" w:styleId="LightGrid">
    <w:name w:val="Light Grid"/>
    <w:basedOn w:val="TableNormal"/>
    <w:uiPriority w:val="62"/>
    <w:pPr>
      <w:spacing w:after="0"/>
    </w:p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insideH w:val="single" w:sz="8" w:space="0" w:color="FFFFFF" w:themeColor="text1"/>
        <w:insideV w:val="single" w:sz="8" w:space="0" w:color="FFFFF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FFFF" w:themeColor="text1"/>
          <w:left w:val="single" w:sz="8" w:space="0" w:color="FFFFFF" w:themeColor="text1"/>
          <w:bottom w:val="single" w:sz="18" w:space="0" w:color="FFFFFF" w:themeColor="text1"/>
          <w:right w:val="single" w:sz="8" w:space="0" w:color="FFFFFF" w:themeColor="text1"/>
          <w:insideH w:val="nil"/>
          <w:insideV w:val="single" w:sz="8" w:space="0" w:color="FFFFF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FFFF" w:themeColor="text1"/>
          <w:left w:val="single" w:sz="8" w:space="0" w:color="FFFFFF" w:themeColor="text1"/>
          <w:bottom w:val="single" w:sz="8" w:space="0" w:color="FFFFFF" w:themeColor="text1"/>
          <w:right w:val="single" w:sz="8" w:space="0" w:color="FFFFFF" w:themeColor="text1"/>
          <w:insideH w:val="nil"/>
          <w:insideV w:val="single" w:sz="8" w:space="0" w:color="FFFFF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tblStylePr w:type="band1Vert">
      <w:tblPr/>
      <w:tcPr>
        <w:tcBorders>
          <w:top w:val="single" w:sz="8" w:space="0" w:color="FFFFFF" w:themeColor="text1"/>
          <w:left w:val="single" w:sz="8" w:space="0" w:color="FFFFFF" w:themeColor="text1"/>
          <w:bottom w:val="single" w:sz="8" w:space="0" w:color="FFFFFF" w:themeColor="text1"/>
          <w:right w:val="single" w:sz="8" w:space="0" w:color="FFFFFF" w:themeColor="text1"/>
        </w:tcBorders>
        <w:shd w:val="clear" w:color="auto" w:fill="FFFFFF" w:themeFill="text1" w:themeFillTint="3F"/>
      </w:tcPr>
    </w:tblStylePr>
    <w:tblStylePr w:type="band1Horz">
      <w:tblPr/>
      <w:tcPr>
        <w:tcBorders>
          <w:top w:val="single" w:sz="8" w:space="0" w:color="FFFFFF" w:themeColor="text1"/>
          <w:left w:val="single" w:sz="8" w:space="0" w:color="FFFFFF" w:themeColor="text1"/>
          <w:bottom w:val="single" w:sz="8" w:space="0" w:color="FFFFFF" w:themeColor="text1"/>
          <w:right w:val="single" w:sz="8" w:space="0" w:color="FFFFFF" w:themeColor="text1"/>
          <w:insideV w:val="single" w:sz="8" w:space="0" w:color="FFFFFF" w:themeColor="text1"/>
        </w:tcBorders>
        <w:shd w:val="clear" w:color="auto" w:fill="FFFFFF" w:themeFill="text1" w:themeFillTint="3F"/>
      </w:tcPr>
    </w:tblStylePr>
    <w:tblStylePr w:type="band2Horz">
      <w:tblPr/>
      <w:tcPr>
        <w:tcBorders>
          <w:top w:val="single" w:sz="8" w:space="0" w:color="FFFFFF" w:themeColor="text1"/>
          <w:left w:val="single" w:sz="8" w:space="0" w:color="FFFFFF" w:themeColor="text1"/>
          <w:bottom w:val="single" w:sz="8" w:space="0" w:color="FFFFFF" w:themeColor="text1"/>
          <w:right w:val="single" w:sz="8" w:space="0" w:color="FFFFFF" w:themeColor="text1"/>
          <w:insideV w:val="single" w:sz="8" w:space="0" w:color="FFFFFF" w:themeColor="text1"/>
        </w:tcBorders>
      </w:tcPr>
    </w:tblStylePr>
  </w:style>
  <w:style w:type="table" w:styleId="LightGrid-Accent1">
    <w:name w:val="Light Grid Accent 1"/>
    <w:basedOn w:val="TableNormal"/>
    <w:uiPriority w:val="62"/>
    <w:pPr>
      <w:spacing w:after="0"/>
    </w:p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insideH w:val="single" w:sz="8" w:space="0" w:color="000000" w:themeColor="accent1"/>
        <w:insideV w:val="single" w:sz="8" w:space="0" w:color="0000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accent1"/>
          <w:left w:val="single" w:sz="8" w:space="0" w:color="000000" w:themeColor="accent1"/>
          <w:bottom w:val="single" w:sz="18" w:space="0" w:color="000000" w:themeColor="accent1"/>
          <w:right w:val="single" w:sz="8" w:space="0" w:color="000000" w:themeColor="accent1"/>
          <w:insideH w:val="nil"/>
          <w:insideV w:val="single" w:sz="8" w:space="0" w:color="0000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insideH w:val="nil"/>
          <w:insideV w:val="single" w:sz="8" w:space="0" w:color="0000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shd w:val="clear" w:color="auto" w:fill="C0C0C0" w:themeFill="accent1" w:themeFillTint="3F"/>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insideV w:val="single" w:sz="8" w:space="0" w:color="000000" w:themeColor="accent1"/>
        </w:tcBorders>
        <w:shd w:val="clear" w:color="auto" w:fill="C0C0C0" w:themeFill="accent1" w:themeFillTint="3F"/>
      </w:tcPr>
    </w:tblStylePr>
    <w:tblStylePr w:type="band2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insideV w:val="single" w:sz="8" w:space="0" w:color="000000" w:themeColor="accent1"/>
        </w:tcBorders>
      </w:tcPr>
    </w:tblStylePr>
  </w:style>
  <w:style w:type="table" w:styleId="LightGrid-Accent2">
    <w:name w:val="Light Grid Accent 2"/>
    <w:basedOn w:val="TableNormal"/>
    <w:uiPriority w:val="62"/>
    <w:pPr>
      <w:spacing w:after="0"/>
    </w:p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insideH w:val="single" w:sz="8" w:space="0" w:color="A50021" w:themeColor="accent2"/>
        <w:insideV w:val="single" w:sz="8" w:space="0" w:color="A5002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0021" w:themeColor="accent2"/>
          <w:left w:val="single" w:sz="8" w:space="0" w:color="A50021" w:themeColor="accent2"/>
          <w:bottom w:val="single" w:sz="18" w:space="0" w:color="A50021" w:themeColor="accent2"/>
          <w:right w:val="single" w:sz="8" w:space="0" w:color="A50021" w:themeColor="accent2"/>
          <w:insideH w:val="nil"/>
          <w:insideV w:val="single" w:sz="8" w:space="0" w:color="A5002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0021" w:themeColor="accent2"/>
          <w:left w:val="single" w:sz="8" w:space="0" w:color="A50021" w:themeColor="accent2"/>
          <w:bottom w:val="single" w:sz="8" w:space="0" w:color="A50021" w:themeColor="accent2"/>
          <w:right w:val="single" w:sz="8" w:space="0" w:color="A50021" w:themeColor="accent2"/>
          <w:insideH w:val="nil"/>
          <w:insideV w:val="single" w:sz="8" w:space="0" w:color="A5002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tcPr>
    </w:tblStylePr>
    <w:tblStylePr w:type="band1Vert">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shd w:val="clear" w:color="auto" w:fill="FFA9BA" w:themeFill="accent2" w:themeFillTint="3F"/>
      </w:tcPr>
    </w:tblStylePr>
    <w:tblStylePr w:type="band1Horz">
      <w:tblPr/>
      <w:tcPr>
        <w:tcBorders>
          <w:top w:val="single" w:sz="8" w:space="0" w:color="A50021" w:themeColor="accent2"/>
          <w:left w:val="single" w:sz="8" w:space="0" w:color="A50021" w:themeColor="accent2"/>
          <w:bottom w:val="single" w:sz="8" w:space="0" w:color="A50021" w:themeColor="accent2"/>
          <w:right w:val="single" w:sz="8" w:space="0" w:color="A50021" w:themeColor="accent2"/>
          <w:insideV w:val="single" w:sz="8" w:space="0" w:color="A50021" w:themeColor="accent2"/>
        </w:tcBorders>
        <w:shd w:val="clear" w:color="auto" w:fill="FFA9BA" w:themeFill="accent2" w:themeFillTint="3F"/>
      </w:tcPr>
    </w:tblStylePr>
    <w:tblStylePr w:type="band2Horz">
      <w:tblPr/>
      <w:tcPr>
        <w:tcBorders>
          <w:top w:val="single" w:sz="8" w:space="0" w:color="A50021" w:themeColor="accent2"/>
          <w:left w:val="single" w:sz="8" w:space="0" w:color="A50021" w:themeColor="accent2"/>
          <w:bottom w:val="single" w:sz="8" w:space="0" w:color="A50021" w:themeColor="accent2"/>
          <w:right w:val="single" w:sz="8" w:space="0" w:color="A50021" w:themeColor="accent2"/>
          <w:insideV w:val="single" w:sz="8" w:space="0" w:color="A50021" w:themeColor="accent2"/>
        </w:tcBorders>
      </w:tcPr>
    </w:tblStylePr>
  </w:style>
  <w:style w:type="table" w:styleId="LightGrid-Accent3">
    <w:name w:val="Light Grid Accent 3"/>
    <w:basedOn w:val="TableNormal"/>
    <w:uiPriority w:val="62"/>
    <w:pPr>
      <w:spacing w:after="0"/>
    </w:p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insideH w:val="single" w:sz="8" w:space="0" w:color="FDB5BA" w:themeColor="accent3"/>
        <w:insideV w:val="single" w:sz="8" w:space="0" w:color="FDB5BA"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DB5BA" w:themeColor="accent3"/>
          <w:left w:val="single" w:sz="8" w:space="0" w:color="FDB5BA" w:themeColor="accent3"/>
          <w:bottom w:val="single" w:sz="18" w:space="0" w:color="FDB5BA" w:themeColor="accent3"/>
          <w:right w:val="single" w:sz="8" w:space="0" w:color="FDB5BA" w:themeColor="accent3"/>
          <w:insideH w:val="nil"/>
          <w:insideV w:val="single" w:sz="8" w:space="0" w:color="FDB5B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DB5BA" w:themeColor="accent3"/>
          <w:left w:val="single" w:sz="8" w:space="0" w:color="FDB5BA" w:themeColor="accent3"/>
          <w:bottom w:val="single" w:sz="8" w:space="0" w:color="FDB5BA" w:themeColor="accent3"/>
          <w:right w:val="single" w:sz="8" w:space="0" w:color="FDB5BA" w:themeColor="accent3"/>
          <w:insideH w:val="nil"/>
          <w:insideV w:val="single" w:sz="8" w:space="0" w:color="FDB5B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tcPr>
    </w:tblStylePr>
    <w:tblStylePr w:type="band1Vert">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shd w:val="clear" w:color="auto" w:fill="FEECED" w:themeFill="accent3" w:themeFillTint="3F"/>
      </w:tcPr>
    </w:tblStylePr>
    <w:tblStylePr w:type="band1Horz">
      <w:tblPr/>
      <w:tcPr>
        <w:tcBorders>
          <w:top w:val="single" w:sz="8" w:space="0" w:color="FDB5BA" w:themeColor="accent3"/>
          <w:left w:val="single" w:sz="8" w:space="0" w:color="FDB5BA" w:themeColor="accent3"/>
          <w:bottom w:val="single" w:sz="8" w:space="0" w:color="FDB5BA" w:themeColor="accent3"/>
          <w:right w:val="single" w:sz="8" w:space="0" w:color="FDB5BA" w:themeColor="accent3"/>
          <w:insideV w:val="single" w:sz="8" w:space="0" w:color="FDB5BA" w:themeColor="accent3"/>
        </w:tcBorders>
        <w:shd w:val="clear" w:color="auto" w:fill="FEECED" w:themeFill="accent3" w:themeFillTint="3F"/>
      </w:tcPr>
    </w:tblStylePr>
    <w:tblStylePr w:type="band2Horz">
      <w:tblPr/>
      <w:tcPr>
        <w:tcBorders>
          <w:top w:val="single" w:sz="8" w:space="0" w:color="FDB5BA" w:themeColor="accent3"/>
          <w:left w:val="single" w:sz="8" w:space="0" w:color="FDB5BA" w:themeColor="accent3"/>
          <w:bottom w:val="single" w:sz="8" w:space="0" w:color="FDB5BA" w:themeColor="accent3"/>
          <w:right w:val="single" w:sz="8" w:space="0" w:color="FDB5BA" w:themeColor="accent3"/>
          <w:insideV w:val="single" w:sz="8" w:space="0" w:color="FDB5BA" w:themeColor="accent3"/>
        </w:tcBorders>
      </w:tcPr>
    </w:tblStylePr>
  </w:style>
  <w:style w:type="table" w:styleId="LightGrid-Accent4">
    <w:name w:val="Light Grid Accent 4"/>
    <w:basedOn w:val="TableNormal"/>
    <w:uiPriority w:val="62"/>
    <w:pPr>
      <w:spacing w:after="0"/>
    </w:p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insideH w:val="single" w:sz="8" w:space="0" w:color="FFE7E7" w:themeColor="accent4"/>
        <w:insideV w:val="single" w:sz="8" w:space="0" w:color="FFE7E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E7E7" w:themeColor="accent4"/>
          <w:left w:val="single" w:sz="8" w:space="0" w:color="FFE7E7" w:themeColor="accent4"/>
          <w:bottom w:val="single" w:sz="18" w:space="0" w:color="FFE7E7" w:themeColor="accent4"/>
          <w:right w:val="single" w:sz="8" w:space="0" w:color="FFE7E7" w:themeColor="accent4"/>
          <w:insideH w:val="nil"/>
          <w:insideV w:val="single" w:sz="8" w:space="0" w:color="FFE7E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E7E7" w:themeColor="accent4"/>
          <w:left w:val="single" w:sz="8" w:space="0" w:color="FFE7E7" w:themeColor="accent4"/>
          <w:bottom w:val="single" w:sz="8" w:space="0" w:color="FFE7E7" w:themeColor="accent4"/>
          <w:right w:val="single" w:sz="8" w:space="0" w:color="FFE7E7" w:themeColor="accent4"/>
          <w:insideH w:val="nil"/>
          <w:insideV w:val="single" w:sz="8" w:space="0" w:color="FFE7E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tblStylePr w:type="band1Vert">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shd w:val="clear" w:color="auto" w:fill="FFF9F9" w:themeFill="accent4" w:themeFillTint="3F"/>
      </w:tcPr>
    </w:tblStylePr>
    <w:tblStylePr w:type="band1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insideV w:val="single" w:sz="8" w:space="0" w:color="FFE7E7" w:themeColor="accent4"/>
        </w:tcBorders>
        <w:shd w:val="clear" w:color="auto" w:fill="FFF9F9" w:themeFill="accent4" w:themeFillTint="3F"/>
      </w:tcPr>
    </w:tblStylePr>
    <w:tblStylePr w:type="band2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insideV w:val="single" w:sz="8" w:space="0" w:color="FFE7E7" w:themeColor="accent4"/>
        </w:tcBorders>
      </w:tcPr>
    </w:tblStylePr>
  </w:style>
  <w:style w:type="table" w:styleId="LightGrid-Accent5">
    <w:name w:val="Light Grid Accent 5"/>
    <w:basedOn w:val="TableNormal"/>
    <w:uiPriority w:val="62"/>
    <w:pPr>
      <w:spacing w:after="0"/>
    </w:p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insideH w:val="single" w:sz="8" w:space="0" w:color="FEDADD" w:themeColor="accent5"/>
        <w:insideV w:val="single" w:sz="8" w:space="0" w:color="FEDADD"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EDADD" w:themeColor="accent5"/>
          <w:left w:val="single" w:sz="8" w:space="0" w:color="FEDADD" w:themeColor="accent5"/>
          <w:bottom w:val="single" w:sz="18" w:space="0" w:color="FEDADD" w:themeColor="accent5"/>
          <w:right w:val="single" w:sz="8" w:space="0" w:color="FEDADD" w:themeColor="accent5"/>
          <w:insideH w:val="nil"/>
          <w:insideV w:val="single" w:sz="8" w:space="0" w:color="FEDADD"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EDADD" w:themeColor="accent5"/>
          <w:left w:val="single" w:sz="8" w:space="0" w:color="FEDADD" w:themeColor="accent5"/>
          <w:bottom w:val="single" w:sz="8" w:space="0" w:color="FEDADD" w:themeColor="accent5"/>
          <w:right w:val="single" w:sz="8" w:space="0" w:color="FEDADD" w:themeColor="accent5"/>
          <w:insideH w:val="nil"/>
          <w:insideV w:val="single" w:sz="8" w:space="0" w:color="FEDADD"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tblStylePr w:type="band1Vert">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shd w:val="clear" w:color="auto" w:fill="FEF5F6" w:themeFill="accent5" w:themeFillTint="3F"/>
      </w:tcPr>
    </w:tblStylePr>
    <w:tblStylePr w:type="band1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insideV w:val="single" w:sz="8" w:space="0" w:color="FEDADD" w:themeColor="accent5"/>
        </w:tcBorders>
        <w:shd w:val="clear" w:color="auto" w:fill="FEF5F6" w:themeFill="accent5" w:themeFillTint="3F"/>
      </w:tcPr>
    </w:tblStylePr>
    <w:tblStylePr w:type="band2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insideV w:val="single" w:sz="8" w:space="0" w:color="FEDADD" w:themeColor="accent5"/>
        </w:tcBorders>
      </w:tcPr>
    </w:tblStylePr>
  </w:style>
  <w:style w:type="table" w:styleId="LightGrid-Accent6">
    <w:name w:val="Light Grid Accent 6"/>
    <w:basedOn w:val="TableNormal"/>
    <w:uiPriority w:val="62"/>
    <w:pPr>
      <w:spacing w:after="0"/>
    </w:p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insideH w:val="single" w:sz="8" w:space="0" w:color="700015" w:themeColor="accent6"/>
        <w:insideV w:val="single" w:sz="8" w:space="0" w:color="70001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0015" w:themeColor="accent6"/>
          <w:left w:val="single" w:sz="8" w:space="0" w:color="700015" w:themeColor="accent6"/>
          <w:bottom w:val="single" w:sz="18" w:space="0" w:color="700015" w:themeColor="accent6"/>
          <w:right w:val="single" w:sz="8" w:space="0" w:color="700015" w:themeColor="accent6"/>
          <w:insideH w:val="nil"/>
          <w:insideV w:val="single" w:sz="8" w:space="0" w:color="70001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0015" w:themeColor="accent6"/>
          <w:left w:val="single" w:sz="8" w:space="0" w:color="700015" w:themeColor="accent6"/>
          <w:bottom w:val="single" w:sz="8" w:space="0" w:color="700015" w:themeColor="accent6"/>
          <w:right w:val="single" w:sz="8" w:space="0" w:color="700015" w:themeColor="accent6"/>
          <w:insideH w:val="nil"/>
          <w:insideV w:val="single" w:sz="8" w:space="0" w:color="70001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tblStylePr w:type="band1Vert">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shd w:val="clear" w:color="auto" w:fill="FF9CAE" w:themeFill="accent6" w:themeFillTint="3F"/>
      </w:tcPr>
    </w:tblStylePr>
    <w:tblStylePr w:type="band1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insideV w:val="single" w:sz="8" w:space="0" w:color="700015" w:themeColor="accent6"/>
        </w:tcBorders>
        <w:shd w:val="clear" w:color="auto" w:fill="FF9CAE" w:themeFill="accent6" w:themeFillTint="3F"/>
      </w:tcPr>
    </w:tblStylePr>
    <w:tblStylePr w:type="band2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insideV w:val="single" w:sz="8" w:space="0" w:color="700015" w:themeColor="accent6"/>
        </w:tcBorders>
      </w:tcPr>
    </w:tblStylePr>
  </w:style>
  <w:style w:type="table" w:styleId="LightList">
    <w:name w:val="Light List"/>
    <w:basedOn w:val="TableNormal"/>
    <w:uiPriority w:val="61"/>
    <w:pPr>
      <w:spacing w:after="0"/>
    </w:p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tblBorders>
    </w:tblPr>
    <w:tblStylePr w:type="firstRow">
      <w:pPr>
        <w:spacing w:before="0" w:after="0" w:line="240" w:lineRule="auto"/>
      </w:pPr>
      <w:rPr>
        <w:b/>
        <w:bCs/>
        <w:color w:val="FFFFFF" w:themeColor="background1"/>
      </w:rPr>
      <w:tblPr/>
      <w:tcPr>
        <w:shd w:val="clear" w:color="auto" w:fill="FFFFFF" w:themeFill="text1"/>
      </w:tcPr>
    </w:tblStylePr>
    <w:tblStylePr w:type="lastRow">
      <w:pPr>
        <w:spacing w:before="0" w:after="0" w:line="240" w:lineRule="auto"/>
      </w:pPr>
      <w:rPr>
        <w:b/>
        <w:bCs/>
      </w:rPr>
      <w:tblPr/>
      <w:tcPr>
        <w:tcBorders>
          <w:top w:val="double" w:sz="6" w:space="0" w:color="FFFFFF" w:themeColor="text1"/>
          <w:left w:val="single" w:sz="8" w:space="0" w:color="FFFFFF" w:themeColor="text1"/>
          <w:bottom w:val="single" w:sz="8" w:space="0" w:color="FFFFFF" w:themeColor="text1"/>
          <w:right w:val="single" w:sz="8" w:space="0" w:color="FFFFFF" w:themeColor="text1"/>
        </w:tcBorders>
      </w:tcPr>
    </w:tblStylePr>
    <w:tblStylePr w:type="firstCol">
      <w:rPr>
        <w:b/>
        <w:bCs/>
      </w:rPr>
    </w:tblStylePr>
    <w:tblStylePr w:type="lastCol">
      <w:rPr>
        <w:b/>
        <w:bCs/>
      </w:rPr>
    </w:tblStylePr>
    <w:tblStylePr w:type="band1Vert">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tblStylePr w:type="band1Horz">
      <w:tblPr/>
      <w:tcPr>
        <w:tcBorders>
          <w:top w:val="single" w:sz="8" w:space="0" w:color="FFFFFF" w:themeColor="text1"/>
          <w:left w:val="single" w:sz="8" w:space="0" w:color="FFFFFF" w:themeColor="text1"/>
          <w:bottom w:val="single" w:sz="8" w:space="0" w:color="FFFFFF" w:themeColor="text1"/>
          <w:right w:val="single" w:sz="8" w:space="0" w:color="FFFFFF" w:themeColor="text1"/>
        </w:tcBorders>
      </w:tcPr>
    </w:tblStylePr>
  </w:style>
  <w:style w:type="table" w:styleId="LightList-Accent1">
    <w:name w:val="Light List Accent 1"/>
    <w:basedOn w:val="TableNormal"/>
    <w:uiPriority w:val="61"/>
    <w:pPr>
      <w:spacing w:after="0"/>
    </w:p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tblBorders>
    </w:tblPr>
    <w:tblStylePr w:type="firstRow">
      <w:pPr>
        <w:spacing w:before="0" w:after="0" w:line="240" w:lineRule="auto"/>
      </w:pPr>
      <w:rPr>
        <w:b/>
        <w:bCs/>
        <w:color w:val="FFFFFF" w:themeColor="background1"/>
      </w:rPr>
      <w:tblPr/>
      <w:tcPr>
        <w:shd w:val="clear" w:color="auto" w:fill="000000" w:themeFill="accent1"/>
      </w:tcPr>
    </w:tblStylePr>
    <w:tblStylePr w:type="lastRow">
      <w:pPr>
        <w:spacing w:before="0" w:after="0" w:line="240" w:lineRule="auto"/>
      </w:pPr>
      <w:rPr>
        <w:b/>
        <w:bCs/>
      </w:rPr>
      <w:tblPr/>
      <w:tcPr>
        <w:tcBorders>
          <w:top w:val="double" w:sz="6" w:space="0" w:color="000000" w:themeColor="accent1"/>
          <w:left w:val="single" w:sz="8" w:space="0" w:color="000000" w:themeColor="accent1"/>
          <w:bottom w:val="single" w:sz="8" w:space="0" w:color="000000" w:themeColor="accent1"/>
          <w:right w:val="single" w:sz="8" w:space="0" w:color="000000" w:themeColor="accent1"/>
        </w:tcBorders>
      </w:tcPr>
    </w:tblStylePr>
    <w:tblStylePr w:type="firstCol">
      <w:rPr>
        <w:b/>
        <w:bCs/>
      </w:rPr>
    </w:tblStylePr>
    <w:tblStylePr w:type="lastCol">
      <w:rPr>
        <w:b/>
        <w:bCs/>
      </w:rPr>
    </w:tblStylePr>
    <w:tblStylePr w:type="band1Vert">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tblStylePr w:type="band1Horz">
      <w:tblPr/>
      <w:tcPr>
        <w:tcBorders>
          <w:top w:val="single" w:sz="8" w:space="0" w:color="000000" w:themeColor="accent1"/>
          <w:left w:val="single" w:sz="8" w:space="0" w:color="000000" w:themeColor="accent1"/>
          <w:bottom w:val="single" w:sz="8" w:space="0" w:color="000000" w:themeColor="accent1"/>
          <w:right w:val="single" w:sz="8" w:space="0" w:color="000000" w:themeColor="accent1"/>
        </w:tcBorders>
      </w:tcPr>
    </w:tblStylePr>
  </w:style>
  <w:style w:type="table" w:styleId="LightList-Accent2">
    <w:name w:val="Light List Accent 2"/>
    <w:basedOn w:val="TableNormal"/>
    <w:uiPriority w:val="61"/>
    <w:pPr>
      <w:spacing w:after="0"/>
    </w:p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tblBorders>
    </w:tblPr>
    <w:tblStylePr w:type="firstRow">
      <w:pPr>
        <w:spacing w:before="0" w:after="0" w:line="240" w:lineRule="auto"/>
      </w:pPr>
      <w:rPr>
        <w:b/>
        <w:bCs/>
        <w:color w:val="FFFFFF" w:themeColor="background1"/>
      </w:rPr>
      <w:tblPr/>
      <w:tcPr>
        <w:shd w:val="clear" w:color="auto" w:fill="A50021" w:themeFill="accent2"/>
      </w:tcPr>
    </w:tblStylePr>
    <w:tblStylePr w:type="lastRow">
      <w:pPr>
        <w:spacing w:before="0" w:after="0" w:line="240" w:lineRule="auto"/>
      </w:pPr>
      <w:rPr>
        <w:b/>
        <w:bCs/>
      </w:rPr>
      <w:tblPr/>
      <w:tcPr>
        <w:tcBorders>
          <w:top w:val="double" w:sz="6" w:space="0" w:color="A50021" w:themeColor="accent2"/>
          <w:left w:val="single" w:sz="8" w:space="0" w:color="A50021" w:themeColor="accent2"/>
          <w:bottom w:val="single" w:sz="8" w:space="0" w:color="A50021" w:themeColor="accent2"/>
          <w:right w:val="single" w:sz="8" w:space="0" w:color="A50021" w:themeColor="accent2"/>
        </w:tcBorders>
      </w:tcPr>
    </w:tblStylePr>
    <w:tblStylePr w:type="firstCol">
      <w:rPr>
        <w:b/>
        <w:bCs/>
      </w:rPr>
    </w:tblStylePr>
    <w:tblStylePr w:type="lastCol">
      <w:rPr>
        <w:b/>
        <w:bCs/>
      </w:rPr>
    </w:tblStylePr>
    <w:tblStylePr w:type="band1Vert">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tcPr>
    </w:tblStylePr>
    <w:tblStylePr w:type="band1Horz">
      <w:tblPr/>
      <w:tcPr>
        <w:tcBorders>
          <w:top w:val="single" w:sz="8" w:space="0" w:color="A50021" w:themeColor="accent2"/>
          <w:left w:val="single" w:sz="8" w:space="0" w:color="A50021" w:themeColor="accent2"/>
          <w:bottom w:val="single" w:sz="8" w:space="0" w:color="A50021" w:themeColor="accent2"/>
          <w:right w:val="single" w:sz="8" w:space="0" w:color="A50021" w:themeColor="accent2"/>
        </w:tcBorders>
      </w:tcPr>
    </w:tblStylePr>
  </w:style>
  <w:style w:type="table" w:styleId="LightList-Accent3">
    <w:name w:val="Light List Accent 3"/>
    <w:basedOn w:val="TableNormal"/>
    <w:uiPriority w:val="61"/>
    <w:pPr>
      <w:spacing w:after="0"/>
    </w:p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tblBorders>
    </w:tblPr>
    <w:tblStylePr w:type="firstRow">
      <w:pPr>
        <w:spacing w:before="0" w:after="0" w:line="240" w:lineRule="auto"/>
      </w:pPr>
      <w:rPr>
        <w:b/>
        <w:bCs/>
        <w:color w:val="FFFFFF" w:themeColor="background1"/>
      </w:rPr>
      <w:tblPr/>
      <w:tcPr>
        <w:shd w:val="clear" w:color="auto" w:fill="FDB5BA" w:themeFill="accent3"/>
      </w:tcPr>
    </w:tblStylePr>
    <w:tblStylePr w:type="lastRow">
      <w:pPr>
        <w:spacing w:before="0" w:after="0" w:line="240" w:lineRule="auto"/>
      </w:pPr>
      <w:rPr>
        <w:b/>
        <w:bCs/>
      </w:rPr>
      <w:tblPr/>
      <w:tcPr>
        <w:tcBorders>
          <w:top w:val="double" w:sz="6" w:space="0" w:color="FDB5BA" w:themeColor="accent3"/>
          <w:left w:val="single" w:sz="8" w:space="0" w:color="FDB5BA" w:themeColor="accent3"/>
          <w:bottom w:val="single" w:sz="8" w:space="0" w:color="FDB5BA" w:themeColor="accent3"/>
          <w:right w:val="single" w:sz="8" w:space="0" w:color="FDB5BA" w:themeColor="accent3"/>
        </w:tcBorders>
      </w:tcPr>
    </w:tblStylePr>
    <w:tblStylePr w:type="firstCol">
      <w:rPr>
        <w:b/>
        <w:bCs/>
      </w:rPr>
    </w:tblStylePr>
    <w:tblStylePr w:type="lastCol">
      <w:rPr>
        <w:b/>
        <w:bCs/>
      </w:rPr>
    </w:tblStylePr>
    <w:tblStylePr w:type="band1Vert">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tcPr>
    </w:tblStylePr>
    <w:tblStylePr w:type="band1Horz">
      <w:tblPr/>
      <w:tcPr>
        <w:tcBorders>
          <w:top w:val="single" w:sz="8" w:space="0" w:color="FDB5BA" w:themeColor="accent3"/>
          <w:left w:val="single" w:sz="8" w:space="0" w:color="FDB5BA" w:themeColor="accent3"/>
          <w:bottom w:val="single" w:sz="8" w:space="0" w:color="FDB5BA" w:themeColor="accent3"/>
          <w:right w:val="single" w:sz="8" w:space="0" w:color="FDB5BA" w:themeColor="accent3"/>
        </w:tcBorders>
      </w:tcPr>
    </w:tblStylePr>
  </w:style>
  <w:style w:type="table" w:styleId="LightList-Accent4">
    <w:name w:val="Light List Accent 4"/>
    <w:basedOn w:val="TableNormal"/>
    <w:uiPriority w:val="61"/>
    <w:pPr>
      <w:spacing w:after="0"/>
    </w:p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tblBorders>
    </w:tblPr>
    <w:tblStylePr w:type="firstRow">
      <w:pPr>
        <w:spacing w:before="0" w:after="0" w:line="240" w:lineRule="auto"/>
      </w:pPr>
      <w:rPr>
        <w:b/>
        <w:bCs/>
        <w:color w:val="FFFFFF" w:themeColor="background1"/>
      </w:rPr>
      <w:tblPr/>
      <w:tcPr>
        <w:shd w:val="clear" w:color="auto" w:fill="FFE7E7" w:themeFill="accent4"/>
      </w:tcPr>
    </w:tblStylePr>
    <w:tblStylePr w:type="lastRow">
      <w:pPr>
        <w:spacing w:before="0" w:after="0" w:line="240" w:lineRule="auto"/>
      </w:pPr>
      <w:rPr>
        <w:b/>
        <w:bCs/>
      </w:rPr>
      <w:tblPr/>
      <w:tcPr>
        <w:tcBorders>
          <w:top w:val="double" w:sz="6" w:space="0" w:color="FFE7E7" w:themeColor="accent4"/>
          <w:left w:val="single" w:sz="8" w:space="0" w:color="FFE7E7" w:themeColor="accent4"/>
          <w:bottom w:val="single" w:sz="8" w:space="0" w:color="FFE7E7" w:themeColor="accent4"/>
          <w:right w:val="single" w:sz="8" w:space="0" w:color="FFE7E7" w:themeColor="accent4"/>
        </w:tcBorders>
      </w:tcPr>
    </w:tblStylePr>
    <w:tblStylePr w:type="firstCol">
      <w:rPr>
        <w:b/>
        <w:bCs/>
      </w:rPr>
    </w:tblStylePr>
    <w:tblStylePr w:type="lastCol">
      <w:rPr>
        <w:b/>
        <w:bCs/>
      </w:rPr>
    </w:tblStylePr>
    <w:tblStylePr w:type="band1Vert">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tblStylePr w:type="band1Horz">
      <w:tblPr/>
      <w:tcPr>
        <w:tcBorders>
          <w:top w:val="single" w:sz="8" w:space="0" w:color="FFE7E7" w:themeColor="accent4"/>
          <w:left w:val="single" w:sz="8" w:space="0" w:color="FFE7E7" w:themeColor="accent4"/>
          <w:bottom w:val="single" w:sz="8" w:space="0" w:color="FFE7E7" w:themeColor="accent4"/>
          <w:right w:val="single" w:sz="8" w:space="0" w:color="FFE7E7" w:themeColor="accent4"/>
        </w:tcBorders>
      </w:tcPr>
    </w:tblStylePr>
  </w:style>
  <w:style w:type="table" w:styleId="LightList-Accent5">
    <w:name w:val="Light List Accent 5"/>
    <w:basedOn w:val="TableNormal"/>
    <w:uiPriority w:val="61"/>
    <w:pPr>
      <w:spacing w:after="0"/>
    </w:p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tblBorders>
    </w:tblPr>
    <w:tblStylePr w:type="firstRow">
      <w:pPr>
        <w:spacing w:before="0" w:after="0" w:line="240" w:lineRule="auto"/>
      </w:pPr>
      <w:rPr>
        <w:b/>
        <w:bCs/>
        <w:color w:val="FFFFFF" w:themeColor="background1"/>
      </w:rPr>
      <w:tblPr/>
      <w:tcPr>
        <w:shd w:val="clear" w:color="auto" w:fill="FEDADD" w:themeFill="accent5"/>
      </w:tcPr>
    </w:tblStylePr>
    <w:tblStylePr w:type="lastRow">
      <w:pPr>
        <w:spacing w:before="0" w:after="0" w:line="240" w:lineRule="auto"/>
      </w:pPr>
      <w:rPr>
        <w:b/>
        <w:bCs/>
      </w:rPr>
      <w:tblPr/>
      <w:tcPr>
        <w:tcBorders>
          <w:top w:val="double" w:sz="6" w:space="0" w:color="FEDADD" w:themeColor="accent5"/>
          <w:left w:val="single" w:sz="8" w:space="0" w:color="FEDADD" w:themeColor="accent5"/>
          <w:bottom w:val="single" w:sz="8" w:space="0" w:color="FEDADD" w:themeColor="accent5"/>
          <w:right w:val="single" w:sz="8" w:space="0" w:color="FEDADD" w:themeColor="accent5"/>
        </w:tcBorders>
      </w:tcPr>
    </w:tblStylePr>
    <w:tblStylePr w:type="firstCol">
      <w:rPr>
        <w:b/>
        <w:bCs/>
      </w:rPr>
    </w:tblStylePr>
    <w:tblStylePr w:type="lastCol">
      <w:rPr>
        <w:b/>
        <w:bCs/>
      </w:rPr>
    </w:tblStylePr>
    <w:tblStylePr w:type="band1Vert">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tblStylePr w:type="band1Horz">
      <w:tblPr/>
      <w:tcPr>
        <w:tcBorders>
          <w:top w:val="single" w:sz="8" w:space="0" w:color="FEDADD" w:themeColor="accent5"/>
          <w:left w:val="single" w:sz="8" w:space="0" w:color="FEDADD" w:themeColor="accent5"/>
          <w:bottom w:val="single" w:sz="8" w:space="0" w:color="FEDADD" w:themeColor="accent5"/>
          <w:right w:val="single" w:sz="8" w:space="0" w:color="FEDADD" w:themeColor="accent5"/>
        </w:tcBorders>
      </w:tcPr>
    </w:tblStylePr>
  </w:style>
  <w:style w:type="table" w:styleId="LightList-Accent6">
    <w:name w:val="Light List Accent 6"/>
    <w:basedOn w:val="TableNormal"/>
    <w:uiPriority w:val="61"/>
    <w:pPr>
      <w:spacing w:after="0"/>
    </w:p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tblBorders>
    </w:tblPr>
    <w:tblStylePr w:type="firstRow">
      <w:pPr>
        <w:spacing w:before="0" w:after="0" w:line="240" w:lineRule="auto"/>
      </w:pPr>
      <w:rPr>
        <w:b/>
        <w:bCs/>
        <w:color w:val="FFFFFF" w:themeColor="background1"/>
      </w:rPr>
      <w:tblPr/>
      <w:tcPr>
        <w:shd w:val="clear" w:color="auto" w:fill="700015" w:themeFill="accent6"/>
      </w:tcPr>
    </w:tblStylePr>
    <w:tblStylePr w:type="lastRow">
      <w:pPr>
        <w:spacing w:before="0" w:after="0" w:line="240" w:lineRule="auto"/>
      </w:pPr>
      <w:rPr>
        <w:b/>
        <w:bCs/>
      </w:rPr>
      <w:tblPr/>
      <w:tcPr>
        <w:tcBorders>
          <w:top w:val="double" w:sz="6" w:space="0" w:color="700015" w:themeColor="accent6"/>
          <w:left w:val="single" w:sz="8" w:space="0" w:color="700015" w:themeColor="accent6"/>
          <w:bottom w:val="single" w:sz="8" w:space="0" w:color="700015" w:themeColor="accent6"/>
          <w:right w:val="single" w:sz="8" w:space="0" w:color="700015" w:themeColor="accent6"/>
        </w:tcBorders>
      </w:tcPr>
    </w:tblStylePr>
    <w:tblStylePr w:type="firstCol">
      <w:rPr>
        <w:b/>
        <w:bCs/>
      </w:rPr>
    </w:tblStylePr>
    <w:tblStylePr w:type="lastCol">
      <w:rPr>
        <w:b/>
        <w:bCs/>
      </w:rPr>
    </w:tblStylePr>
    <w:tblStylePr w:type="band1Vert">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tblStylePr w:type="band1Horz">
      <w:tblPr/>
      <w:tcPr>
        <w:tcBorders>
          <w:top w:val="single" w:sz="8" w:space="0" w:color="700015" w:themeColor="accent6"/>
          <w:left w:val="single" w:sz="8" w:space="0" w:color="700015" w:themeColor="accent6"/>
          <w:bottom w:val="single" w:sz="8" w:space="0" w:color="700015" w:themeColor="accent6"/>
          <w:right w:val="single" w:sz="8" w:space="0" w:color="700015" w:themeColor="accent6"/>
        </w:tcBorders>
      </w:tcPr>
    </w:tblStylePr>
  </w:style>
  <w:style w:type="table" w:styleId="LightShading">
    <w:name w:val="Light Shading"/>
    <w:basedOn w:val="TableNormal"/>
    <w:uiPriority w:val="60"/>
    <w:pPr>
      <w:spacing w:after="0"/>
    </w:pPr>
    <w:rPr>
      <w:color w:val="BFBFBF" w:themeColor="text1" w:themeShade="BF"/>
    </w:rPr>
    <w:tblPr>
      <w:tblStyleRowBandSize w:val="1"/>
      <w:tblStyleColBandSize w:val="1"/>
      <w:tblBorders>
        <w:top w:val="single" w:sz="8" w:space="0" w:color="FFFFFF" w:themeColor="text1"/>
        <w:bottom w:val="single" w:sz="8" w:space="0" w:color="FFFFFF" w:themeColor="text1"/>
      </w:tblBorders>
    </w:tblPr>
    <w:tblStylePr w:type="firstRow">
      <w:pPr>
        <w:spacing w:before="0" w:after="0" w:line="240" w:lineRule="auto"/>
      </w:pPr>
      <w:rPr>
        <w:b/>
        <w:bCs/>
      </w:rPr>
      <w:tblPr/>
      <w:tcPr>
        <w:tcBorders>
          <w:top w:val="single" w:sz="8" w:space="0" w:color="FFFFFF" w:themeColor="text1"/>
          <w:left w:val="nil"/>
          <w:bottom w:val="single" w:sz="8" w:space="0" w:color="FFFFFF" w:themeColor="text1"/>
          <w:right w:val="nil"/>
          <w:insideH w:val="nil"/>
          <w:insideV w:val="nil"/>
        </w:tcBorders>
      </w:tcPr>
    </w:tblStylePr>
    <w:tblStylePr w:type="lastRow">
      <w:pPr>
        <w:spacing w:before="0" w:after="0" w:line="240" w:lineRule="auto"/>
      </w:pPr>
      <w:rPr>
        <w:b/>
        <w:bCs/>
      </w:rPr>
      <w:tblPr/>
      <w:tcPr>
        <w:tcBorders>
          <w:top w:val="single" w:sz="8" w:space="0" w:color="FFFFFF" w:themeColor="text1"/>
          <w:left w:val="nil"/>
          <w:bottom w:val="single" w:sz="8" w:space="0" w:color="FFFFF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FFF" w:themeFill="text1" w:themeFillTint="3F"/>
      </w:tcPr>
    </w:tblStylePr>
    <w:tblStylePr w:type="band1Horz">
      <w:tblPr/>
      <w:tcPr>
        <w:tcBorders>
          <w:left w:val="nil"/>
          <w:right w:val="nil"/>
          <w:insideH w:val="nil"/>
          <w:insideV w:val="nil"/>
        </w:tcBorders>
        <w:shd w:val="clear" w:color="auto" w:fill="FFFFFF" w:themeFill="text1" w:themeFillTint="3F"/>
      </w:tcPr>
    </w:tblStylePr>
  </w:style>
  <w:style w:type="table" w:styleId="LightShading-Accent1">
    <w:name w:val="Light Shading Accent 1"/>
    <w:basedOn w:val="TableNormal"/>
    <w:uiPriority w:val="60"/>
    <w:pPr>
      <w:spacing w:after="0"/>
    </w:pPr>
    <w:rPr>
      <w:color w:val="000000" w:themeColor="accent1" w:themeShade="BF"/>
    </w:rPr>
    <w:tblPr>
      <w:tblStyleRowBandSize w:val="1"/>
      <w:tblStyleColBandSize w:val="1"/>
      <w:tblBorders>
        <w:top w:val="single" w:sz="8" w:space="0" w:color="000000" w:themeColor="accent1"/>
        <w:bottom w:val="single" w:sz="8" w:space="0" w:color="000000" w:themeColor="accent1"/>
      </w:tblBorders>
    </w:tblPr>
    <w:tblStylePr w:type="firstRow">
      <w:pPr>
        <w:spacing w:before="0" w:after="0" w:line="240" w:lineRule="auto"/>
      </w:pPr>
      <w:rPr>
        <w:b/>
        <w:bCs/>
      </w:rPr>
      <w:tblPr/>
      <w:tcPr>
        <w:tcBorders>
          <w:top w:val="single" w:sz="8" w:space="0" w:color="000000" w:themeColor="accent1"/>
          <w:left w:val="nil"/>
          <w:bottom w:val="single" w:sz="8" w:space="0" w:color="000000" w:themeColor="accent1"/>
          <w:right w:val="nil"/>
          <w:insideH w:val="nil"/>
          <w:insideV w:val="nil"/>
        </w:tcBorders>
      </w:tcPr>
    </w:tblStylePr>
    <w:tblStylePr w:type="lastRow">
      <w:pPr>
        <w:spacing w:before="0" w:after="0" w:line="240" w:lineRule="auto"/>
      </w:pPr>
      <w:rPr>
        <w:b/>
        <w:bCs/>
      </w:rPr>
      <w:tblPr/>
      <w:tcPr>
        <w:tcBorders>
          <w:top w:val="single" w:sz="8" w:space="0" w:color="000000" w:themeColor="accent1"/>
          <w:left w:val="nil"/>
          <w:bottom w:val="single" w:sz="8" w:space="0" w:color="00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left w:val="nil"/>
          <w:right w:val="nil"/>
          <w:insideH w:val="nil"/>
          <w:insideV w:val="nil"/>
        </w:tcBorders>
        <w:shd w:val="clear" w:color="auto" w:fill="C0C0C0" w:themeFill="accent1" w:themeFillTint="3F"/>
      </w:tcPr>
    </w:tblStylePr>
  </w:style>
  <w:style w:type="table" w:styleId="LightShading-Accent2">
    <w:name w:val="Light Shading Accent 2"/>
    <w:basedOn w:val="TableNormal"/>
    <w:uiPriority w:val="60"/>
    <w:pPr>
      <w:spacing w:after="0"/>
    </w:pPr>
    <w:rPr>
      <w:color w:val="7B0018" w:themeColor="accent2" w:themeShade="BF"/>
    </w:rPr>
    <w:tblPr>
      <w:tblStyleRowBandSize w:val="1"/>
      <w:tblStyleColBandSize w:val="1"/>
      <w:tblBorders>
        <w:top w:val="single" w:sz="8" w:space="0" w:color="A50021" w:themeColor="accent2"/>
        <w:bottom w:val="single" w:sz="8" w:space="0" w:color="A50021" w:themeColor="accent2"/>
      </w:tblBorders>
    </w:tblPr>
    <w:tblStylePr w:type="firstRow">
      <w:pPr>
        <w:spacing w:before="0" w:after="0" w:line="240" w:lineRule="auto"/>
      </w:pPr>
      <w:rPr>
        <w:b/>
        <w:bCs/>
      </w:rPr>
      <w:tblPr/>
      <w:tcPr>
        <w:tcBorders>
          <w:top w:val="single" w:sz="8" w:space="0" w:color="A50021" w:themeColor="accent2"/>
          <w:left w:val="nil"/>
          <w:bottom w:val="single" w:sz="8" w:space="0" w:color="A50021" w:themeColor="accent2"/>
          <w:right w:val="nil"/>
          <w:insideH w:val="nil"/>
          <w:insideV w:val="nil"/>
        </w:tcBorders>
      </w:tcPr>
    </w:tblStylePr>
    <w:tblStylePr w:type="lastRow">
      <w:pPr>
        <w:spacing w:before="0" w:after="0" w:line="240" w:lineRule="auto"/>
      </w:pPr>
      <w:rPr>
        <w:b/>
        <w:bCs/>
      </w:rPr>
      <w:tblPr/>
      <w:tcPr>
        <w:tcBorders>
          <w:top w:val="single" w:sz="8" w:space="0" w:color="A50021" w:themeColor="accent2"/>
          <w:left w:val="nil"/>
          <w:bottom w:val="single" w:sz="8" w:space="0" w:color="A5002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A9BA" w:themeFill="accent2" w:themeFillTint="3F"/>
      </w:tcPr>
    </w:tblStylePr>
    <w:tblStylePr w:type="band1Horz">
      <w:tblPr/>
      <w:tcPr>
        <w:tcBorders>
          <w:left w:val="nil"/>
          <w:right w:val="nil"/>
          <w:insideH w:val="nil"/>
          <w:insideV w:val="nil"/>
        </w:tcBorders>
        <w:shd w:val="clear" w:color="auto" w:fill="FFA9BA" w:themeFill="accent2" w:themeFillTint="3F"/>
      </w:tcPr>
    </w:tblStylePr>
  </w:style>
  <w:style w:type="table" w:styleId="LightShading-Accent3">
    <w:name w:val="Light Shading Accent 3"/>
    <w:basedOn w:val="TableNormal"/>
    <w:uiPriority w:val="60"/>
    <w:pPr>
      <w:spacing w:after="0"/>
    </w:pPr>
    <w:rPr>
      <w:color w:val="FA4A56" w:themeColor="accent3" w:themeShade="BF"/>
    </w:rPr>
    <w:tblPr>
      <w:tblStyleRowBandSize w:val="1"/>
      <w:tblStyleColBandSize w:val="1"/>
      <w:tblBorders>
        <w:top w:val="single" w:sz="8" w:space="0" w:color="FDB5BA" w:themeColor="accent3"/>
        <w:bottom w:val="single" w:sz="8" w:space="0" w:color="FDB5BA" w:themeColor="accent3"/>
      </w:tblBorders>
    </w:tblPr>
    <w:tblStylePr w:type="firstRow">
      <w:pPr>
        <w:spacing w:before="0" w:after="0" w:line="240" w:lineRule="auto"/>
      </w:pPr>
      <w:rPr>
        <w:b/>
        <w:bCs/>
      </w:rPr>
      <w:tblPr/>
      <w:tcPr>
        <w:tcBorders>
          <w:top w:val="single" w:sz="8" w:space="0" w:color="FDB5BA" w:themeColor="accent3"/>
          <w:left w:val="nil"/>
          <w:bottom w:val="single" w:sz="8" w:space="0" w:color="FDB5BA" w:themeColor="accent3"/>
          <w:right w:val="nil"/>
          <w:insideH w:val="nil"/>
          <w:insideV w:val="nil"/>
        </w:tcBorders>
      </w:tcPr>
    </w:tblStylePr>
    <w:tblStylePr w:type="lastRow">
      <w:pPr>
        <w:spacing w:before="0" w:after="0" w:line="240" w:lineRule="auto"/>
      </w:pPr>
      <w:rPr>
        <w:b/>
        <w:bCs/>
      </w:rPr>
      <w:tblPr/>
      <w:tcPr>
        <w:tcBorders>
          <w:top w:val="single" w:sz="8" w:space="0" w:color="FDB5BA" w:themeColor="accent3"/>
          <w:left w:val="nil"/>
          <w:bottom w:val="single" w:sz="8" w:space="0" w:color="FDB5B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ECED" w:themeFill="accent3" w:themeFillTint="3F"/>
      </w:tcPr>
    </w:tblStylePr>
    <w:tblStylePr w:type="band1Horz">
      <w:tblPr/>
      <w:tcPr>
        <w:tcBorders>
          <w:left w:val="nil"/>
          <w:right w:val="nil"/>
          <w:insideH w:val="nil"/>
          <w:insideV w:val="nil"/>
        </w:tcBorders>
        <w:shd w:val="clear" w:color="auto" w:fill="FEECED" w:themeFill="accent3" w:themeFillTint="3F"/>
      </w:tcPr>
    </w:tblStylePr>
  </w:style>
  <w:style w:type="table" w:styleId="LightShading-Accent4">
    <w:name w:val="Light Shading Accent 4"/>
    <w:basedOn w:val="TableNormal"/>
    <w:uiPriority w:val="60"/>
    <w:pPr>
      <w:spacing w:after="0"/>
    </w:pPr>
    <w:rPr>
      <w:color w:val="FF6D6D" w:themeColor="accent4" w:themeShade="BF"/>
    </w:rPr>
    <w:tblPr>
      <w:tblStyleRowBandSize w:val="1"/>
      <w:tblStyleColBandSize w:val="1"/>
      <w:tblBorders>
        <w:top w:val="single" w:sz="8" w:space="0" w:color="FFE7E7" w:themeColor="accent4"/>
        <w:bottom w:val="single" w:sz="8" w:space="0" w:color="FFE7E7" w:themeColor="accent4"/>
      </w:tblBorders>
    </w:tblPr>
    <w:tblStylePr w:type="firstRow">
      <w:pPr>
        <w:spacing w:before="0" w:after="0" w:line="240" w:lineRule="auto"/>
      </w:pPr>
      <w:rPr>
        <w:b/>
        <w:bCs/>
      </w:rPr>
      <w:tblPr/>
      <w:tcPr>
        <w:tcBorders>
          <w:top w:val="single" w:sz="8" w:space="0" w:color="FFE7E7" w:themeColor="accent4"/>
          <w:left w:val="nil"/>
          <w:bottom w:val="single" w:sz="8" w:space="0" w:color="FFE7E7" w:themeColor="accent4"/>
          <w:right w:val="nil"/>
          <w:insideH w:val="nil"/>
          <w:insideV w:val="nil"/>
        </w:tcBorders>
      </w:tcPr>
    </w:tblStylePr>
    <w:tblStylePr w:type="lastRow">
      <w:pPr>
        <w:spacing w:before="0" w:after="0" w:line="240" w:lineRule="auto"/>
      </w:pPr>
      <w:rPr>
        <w:b/>
        <w:bCs/>
      </w:rPr>
      <w:tblPr/>
      <w:tcPr>
        <w:tcBorders>
          <w:top w:val="single" w:sz="8" w:space="0" w:color="FFE7E7" w:themeColor="accent4"/>
          <w:left w:val="nil"/>
          <w:bottom w:val="single" w:sz="8" w:space="0" w:color="FFE7E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9F9" w:themeFill="accent4" w:themeFillTint="3F"/>
      </w:tcPr>
    </w:tblStylePr>
    <w:tblStylePr w:type="band1Horz">
      <w:tblPr/>
      <w:tcPr>
        <w:tcBorders>
          <w:left w:val="nil"/>
          <w:right w:val="nil"/>
          <w:insideH w:val="nil"/>
          <w:insideV w:val="nil"/>
        </w:tcBorders>
        <w:shd w:val="clear" w:color="auto" w:fill="FFF9F9" w:themeFill="accent4" w:themeFillTint="3F"/>
      </w:tcPr>
    </w:tblStylePr>
  </w:style>
  <w:style w:type="table" w:styleId="LightShading-Accent5">
    <w:name w:val="Light Shading Accent 5"/>
    <w:basedOn w:val="TableNormal"/>
    <w:uiPriority w:val="60"/>
    <w:pPr>
      <w:spacing w:after="0"/>
    </w:pPr>
    <w:rPr>
      <w:color w:val="FB6672" w:themeColor="accent5" w:themeShade="BF"/>
    </w:rPr>
    <w:tblPr>
      <w:tblStyleRowBandSize w:val="1"/>
      <w:tblStyleColBandSize w:val="1"/>
      <w:tblBorders>
        <w:top w:val="single" w:sz="8" w:space="0" w:color="FEDADD" w:themeColor="accent5"/>
        <w:bottom w:val="single" w:sz="8" w:space="0" w:color="FEDADD" w:themeColor="accent5"/>
      </w:tblBorders>
    </w:tblPr>
    <w:tblStylePr w:type="firstRow">
      <w:pPr>
        <w:spacing w:before="0" w:after="0" w:line="240" w:lineRule="auto"/>
      </w:pPr>
      <w:rPr>
        <w:b/>
        <w:bCs/>
      </w:rPr>
      <w:tblPr/>
      <w:tcPr>
        <w:tcBorders>
          <w:top w:val="single" w:sz="8" w:space="0" w:color="FEDADD" w:themeColor="accent5"/>
          <w:left w:val="nil"/>
          <w:bottom w:val="single" w:sz="8" w:space="0" w:color="FEDADD" w:themeColor="accent5"/>
          <w:right w:val="nil"/>
          <w:insideH w:val="nil"/>
          <w:insideV w:val="nil"/>
        </w:tcBorders>
      </w:tcPr>
    </w:tblStylePr>
    <w:tblStylePr w:type="lastRow">
      <w:pPr>
        <w:spacing w:before="0" w:after="0" w:line="240" w:lineRule="auto"/>
      </w:pPr>
      <w:rPr>
        <w:b/>
        <w:bCs/>
      </w:rPr>
      <w:tblPr/>
      <w:tcPr>
        <w:tcBorders>
          <w:top w:val="single" w:sz="8" w:space="0" w:color="FEDADD" w:themeColor="accent5"/>
          <w:left w:val="nil"/>
          <w:bottom w:val="single" w:sz="8" w:space="0" w:color="FEDADD"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EF5F6" w:themeFill="accent5" w:themeFillTint="3F"/>
      </w:tcPr>
    </w:tblStylePr>
    <w:tblStylePr w:type="band1Horz">
      <w:tblPr/>
      <w:tcPr>
        <w:tcBorders>
          <w:left w:val="nil"/>
          <w:right w:val="nil"/>
          <w:insideH w:val="nil"/>
          <w:insideV w:val="nil"/>
        </w:tcBorders>
        <w:shd w:val="clear" w:color="auto" w:fill="FEF5F6" w:themeFill="accent5" w:themeFillTint="3F"/>
      </w:tcPr>
    </w:tblStylePr>
  </w:style>
  <w:style w:type="table" w:styleId="LightShading-Accent6">
    <w:name w:val="Light Shading Accent 6"/>
    <w:basedOn w:val="TableNormal"/>
    <w:uiPriority w:val="60"/>
    <w:pPr>
      <w:spacing w:after="0"/>
    </w:pPr>
    <w:rPr>
      <w:color w:val="53000F" w:themeColor="accent6" w:themeShade="BF"/>
    </w:rPr>
    <w:tblPr>
      <w:tblStyleRowBandSize w:val="1"/>
      <w:tblStyleColBandSize w:val="1"/>
      <w:tblBorders>
        <w:top w:val="single" w:sz="8" w:space="0" w:color="700015" w:themeColor="accent6"/>
        <w:bottom w:val="single" w:sz="8" w:space="0" w:color="700015" w:themeColor="accent6"/>
      </w:tblBorders>
    </w:tblPr>
    <w:tblStylePr w:type="firstRow">
      <w:pPr>
        <w:spacing w:before="0" w:after="0" w:line="240" w:lineRule="auto"/>
      </w:pPr>
      <w:rPr>
        <w:b/>
        <w:bCs/>
      </w:rPr>
      <w:tblPr/>
      <w:tcPr>
        <w:tcBorders>
          <w:top w:val="single" w:sz="8" w:space="0" w:color="700015" w:themeColor="accent6"/>
          <w:left w:val="nil"/>
          <w:bottom w:val="single" w:sz="8" w:space="0" w:color="700015" w:themeColor="accent6"/>
          <w:right w:val="nil"/>
          <w:insideH w:val="nil"/>
          <w:insideV w:val="nil"/>
        </w:tcBorders>
      </w:tcPr>
    </w:tblStylePr>
    <w:tblStylePr w:type="lastRow">
      <w:pPr>
        <w:spacing w:before="0" w:after="0" w:line="240" w:lineRule="auto"/>
      </w:pPr>
      <w:rPr>
        <w:b/>
        <w:bCs/>
      </w:rPr>
      <w:tblPr/>
      <w:tcPr>
        <w:tcBorders>
          <w:top w:val="single" w:sz="8" w:space="0" w:color="700015" w:themeColor="accent6"/>
          <w:left w:val="nil"/>
          <w:bottom w:val="single" w:sz="8" w:space="0" w:color="700015"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AE" w:themeFill="accent6" w:themeFillTint="3F"/>
      </w:tcPr>
    </w:tblStylePr>
    <w:tblStylePr w:type="band1Horz">
      <w:tblPr/>
      <w:tcPr>
        <w:tcBorders>
          <w:left w:val="nil"/>
          <w:right w:val="nil"/>
          <w:insideH w:val="nil"/>
          <w:insideV w:val="nil"/>
        </w:tcBorders>
        <w:shd w:val="clear" w:color="auto" w:fill="FF9CAE" w:themeFill="accent6" w:themeFillTint="3F"/>
      </w:tcPr>
    </w:tblStylePr>
  </w:style>
  <w:style w:type="character" w:styleId="LineNumber">
    <w:name w:val="line number"/>
    <w:basedOn w:val="DefaultParagraphFont"/>
    <w:uiPriority w:val="99"/>
    <w:semiHidden/>
    <w:unhideWhenUsed/>
  </w:style>
  <w:style w:type="paragraph" w:styleId="List">
    <w:name w:val="List"/>
    <w:basedOn w:val="Normal"/>
    <w:uiPriority w:val="99"/>
    <w:semiHidden/>
    <w:unhideWhenUsed/>
    <w:pPr>
      <w:ind w:left="360" w:hanging="360"/>
      <w:contextualSpacing/>
    </w:pPr>
  </w:style>
  <w:style w:type="paragraph" w:styleId="List2">
    <w:name w:val="List 2"/>
    <w:basedOn w:val="Normal"/>
    <w:uiPriority w:val="99"/>
    <w:semiHidden/>
    <w:unhideWhenUsed/>
    <w:pPr>
      <w:ind w:left="720" w:hanging="360"/>
      <w:contextualSpacing/>
    </w:pPr>
  </w:style>
  <w:style w:type="paragraph" w:styleId="List3">
    <w:name w:val="List 3"/>
    <w:basedOn w:val="Normal"/>
    <w:uiPriority w:val="99"/>
    <w:semiHidden/>
    <w:unhideWhenUsed/>
    <w:pPr>
      <w:ind w:left="1080" w:hanging="360"/>
      <w:contextualSpacing/>
    </w:pPr>
  </w:style>
  <w:style w:type="paragraph" w:styleId="List4">
    <w:name w:val="List 4"/>
    <w:basedOn w:val="Normal"/>
    <w:uiPriority w:val="99"/>
    <w:semiHidden/>
    <w:unhideWhenUsed/>
    <w:pPr>
      <w:ind w:left="1440" w:hanging="360"/>
      <w:contextualSpacing/>
    </w:pPr>
  </w:style>
  <w:style w:type="paragraph" w:styleId="List5">
    <w:name w:val="List 5"/>
    <w:basedOn w:val="Normal"/>
    <w:uiPriority w:val="99"/>
    <w:semiHidden/>
    <w:unhideWhenUsed/>
    <w:pPr>
      <w:ind w:left="1800" w:hanging="360"/>
      <w:contextualSpacing/>
    </w:pPr>
  </w:style>
  <w:style w:type="paragraph" w:styleId="ListBullet">
    <w:name w:val="List Bullet"/>
    <w:basedOn w:val="Normal"/>
    <w:uiPriority w:val="1"/>
    <w:unhideWhenUsed/>
    <w:qFormat/>
    <w:pPr>
      <w:numPr>
        <w:numId w:val="1"/>
      </w:numPr>
      <w:spacing w:after="40"/>
    </w:pPr>
  </w:style>
  <w:style w:type="paragraph" w:styleId="ListBullet2">
    <w:name w:val="List Bullet 2"/>
    <w:basedOn w:val="Normal"/>
    <w:uiPriority w:val="99"/>
    <w:semiHidden/>
    <w:unhideWhenUsed/>
    <w:pPr>
      <w:numPr>
        <w:numId w:val="2"/>
      </w:numPr>
      <w:contextualSpacing/>
    </w:pPr>
  </w:style>
  <w:style w:type="paragraph" w:styleId="ListBullet3">
    <w:name w:val="List Bullet 3"/>
    <w:basedOn w:val="Normal"/>
    <w:uiPriority w:val="99"/>
    <w:semiHidden/>
    <w:unhideWhenUsed/>
    <w:pPr>
      <w:numPr>
        <w:numId w:val="3"/>
      </w:numPr>
      <w:contextualSpacing/>
    </w:pPr>
  </w:style>
  <w:style w:type="paragraph" w:styleId="ListBullet4">
    <w:name w:val="List Bullet 4"/>
    <w:basedOn w:val="Normal"/>
    <w:uiPriority w:val="99"/>
    <w:semiHidden/>
    <w:unhideWhenUsed/>
    <w:pPr>
      <w:numPr>
        <w:numId w:val="4"/>
      </w:numPr>
      <w:contextualSpacing/>
    </w:pPr>
  </w:style>
  <w:style w:type="paragraph" w:styleId="ListBullet5">
    <w:name w:val="List Bullet 5"/>
    <w:basedOn w:val="Normal"/>
    <w:uiPriority w:val="99"/>
    <w:semiHidden/>
    <w:unhideWhenUsed/>
    <w:pPr>
      <w:numPr>
        <w:numId w:val="5"/>
      </w:numPr>
      <w:contextualSpacing/>
    </w:pPr>
  </w:style>
  <w:style w:type="paragraph" w:styleId="ListContinue">
    <w:name w:val="List Continue"/>
    <w:basedOn w:val="Normal"/>
    <w:uiPriority w:val="99"/>
    <w:semiHidden/>
    <w:unhideWhenUsed/>
    <w:pPr>
      <w:ind w:left="360"/>
      <w:contextualSpacing/>
    </w:pPr>
  </w:style>
  <w:style w:type="paragraph" w:styleId="ListContinue2">
    <w:name w:val="List Continue 2"/>
    <w:basedOn w:val="Normal"/>
    <w:uiPriority w:val="99"/>
    <w:semiHidden/>
    <w:unhideWhenUsed/>
    <w:pPr>
      <w:ind w:left="720"/>
      <w:contextualSpacing/>
    </w:pPr>
  </w:style>
  <w:style w:type="paragraph" w:styleId="ListContinue3">
    <w:name w:val="List Continue 3"/>
    <w:basedOn w:val="Normal"/>
    <w:uiPriority w:val="99"/>
    <w:semiHidden/>
    <w:unhideWhenUsed/>
    <w:pPr>
      <w:ind w:left="1080"/>
      <w:contextualSpacing/>
    </w:pPr>
  </w:style>
  <w:style w:type="paragraph" w:styleId="ListContinue4">
    <w:name w:val="List Continue 4"/>
    <w:basedOn w:val="Normal"/>
    <w:uiPriority w:val="99"/>
    <w:semiHidden/>
    <w:unhideWhenUsed/>
    <w:pPr>
      <w:ind w:left="1440"/>
      <w:contextualSpacing/>
    </w:pPr>
  </w:style>
  <w:style w:type="paragraph" w:styleId="ListContinue5">
    <w:name w:val="List Continue 5"/>
    <w:basedOn w:val="Normal"/>
    <w:uiPriority w:val="99"/>
    <w:semiHidden/>
    <w:unhideWhenUsed/>
    <w:pPr>
      <w:ind w:left="1800"/>
      <w:contextualSpacing/>
    </w:pPr>
  </w:style>
  <w:style w:type="paragraph" w:styleId="ListNumber">
    <w:name w:val="List Number"/>
    <w:basedOn w:val="Normal"/>
    <w:uiPriority w:val="1"/>
    <w:unhideWhenUsed/>
    <w:qFormat/>
    <w:pPr>
      <w:numPr>
        <w:numId w:val="7"/>
      </w:numPr>
      <w:contextualSpacing/>
    </w:pPr>
  </w:style>
  <w:style w:type="paragraph" w:styleId="ListNumber2">
    <w:name w:val="List Number 2"/>
    <w:basedOn w:val="Normal"/>
    <w:uiPriority w:val="1"/>
    <w:unhideWhenUsed/>
    <w:qFormat/>
    <w:pPr>
      <w:numPr>
        <w:ilvl w:val="1"/>
        <w:numId w:val="7"/>
      </w:numPr>
      <w:contextualSpacing/>
    </w:pPr>
  </w:style>
  <w:style w:type="paragraph" w:styleId="ListNumber3">
    <w:name w:val="List Number 3"/>
    <w:basedOn w:val="Normal"/>
    <w:uiPriority w:val="18"/>
    <w:unhideWhenUsed/>
    <w:qFormat/>
    <w:pPr>
      <w:numPr>
        <w:ilvl w:val="2"/>
        <w:numId w:val="7"/>
      </w:numPr>
      <w:contextualSpacing/>
    </w:pPr>
  </w:style>
  <w:style w:type="paragraph" w:styleId="ListNumber4">
    <w:name w:val="List Number 4"/>
    <w:basedOn w:val="Normal"/>
    <w:uiPriority w:val="18"/>
    <w:semiHidden/>
    <w:unhideWhenUsed/>
    <w:pPr>
      <w:numPr>
        <w:ilvl w:val="3"/>
        <w:numId w:val="7"/>
      </w:numPr>
      <w:contextualSpacing/>
    </w:pPr>
  </w:style>
  <w:style w:type="paragraph" w:styleId="ListNumber5">
    <w:name w:val="List Number 5"/>
    <w:basedOn w:val="Normal"/>
    <w:uiPriority w:val="18"/>
    <w:semiHidden/>
    <w:unhideWhenUsed/>
    <w:pPr>
      <w:numPr>
        <w:ilvl w:val="4"/>
        <w:numId w:val="7"/>
      </w:numPr>
      <w:contextualSpacing/>
    </w:pPr>
  </w:style>
  <w:style w:type="paragraph" w:styleId="ListParagraph">
    <w:name w:val="List Paragraph"/>
    <w:aliases w:val="NFP GP Bulleted List,List Paragraph1,Recommendation,List Paragraph11,FooterText,numbered,Paragraphe de liste1,Bulletr List Paragraph,列出段落,列出段落1,List Paragraph2,List Paragraph21,Listeafsnit1,Parágrafo da Lista1,Párrafo de lista1,リスト段落1,L,列"/>
    <w:basedOn w:val="Normal"/>
    <w:link w:val="ListParagraphChar"/>
    <w:uiPriority w:val="34"/>
    <w:unhideWhenUsed/>
    <w:qFormat/>
    <w:rsid w:val="00EB6EB1"/>
    <w:pPr>
      <w:ind w:left="720"/>
      <w:contextualSpacing/>
    </w:pPr>
  </w:style>
  <w:style w:type="paragraph" w:styleId="MacroText">
    <w:name w:val="macro"/>
    <w:link w:val="MacroTextChar"/>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after="0" w:line="300" w:lineRule="auto"/>
    </w:pPr>
    <w:rPr>
      <w:rFonts w:ascii="Consolas" w:hAnsi="Consolas" w:cs="Consolas"/>
    </w:rPr>
  </w:style>
  <w:style w:type="character" w:customStyle="1" w:styleId="MacroTextChar">
    <w:name w:val="Macro Text Char"/>
    <w:basedOn w:val="DefaultParagraphFont"/>
    <w:link w:val="MacroText"/>
    <w:uiPriority w:val="99"/>
    <w:semiHidden/>
    <w:rPr>
      <w:rFonts w:ascii="Consolas" w:hAnsi="Consolas" w:cs="Consolas"/>
      <w:sz w:val="20"/>
    </w:rPr>
  </w:style>
  <w:style w:type="table" w:styleId="MediumGrid1">
    <w:name w:val="Medium Grid 1"/>
    <w:basedOn w:val="TableNormal"/>
    <w:uiPriority w:val="67"/>
    <w:pPr>
      <w:spacing w:after="0"/>
    </w:pPr>
    <w:tblPr>
      <w:tblStyleRowBandSize w:val="1"/>
      <w:tblStyleColBandSize w:val="1"/>
      <w:tbl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single" w:sz="8" w:space="0" w:color="FFFFFF" w:themeColor="text1" w:themeTint="BF"/>
        <w:insideV w:val="single" w:sz="8" w:space="0" w:color="FFFFFF" w:themeColor="text1" w:themeTint="BF"/>
      </w:tblBorders>
    </w:tblPr>
    <w:tcPr>
      <w:shd w:val="clear" w:color="auto" w:fill="FFFFFF" w:themeFill="text1" w:themeFillTint="3F"/>
    </w:tcPr>
    <w:tblStylePr w:type="firstRow">
      <w:rPr>
        <w:b/>
        <w:bCs/>
      </w:rPr>
    </w:tblStylePr>
    <w:tblStylePr w:type="lastRow">
      <w:rPr>
        <w:b/>
        <w:bCs/>
      </w:rPr>
      <w:tblPr/>
      <w:tcPr>
        <w:tcBorders>
          <w:top w:val="single" w:sz="18" w:space="0" w:color="FFFFFF" w:themeColor="text1" w:themeTint="BF"/>
        </w:tcBorders>
      </w:tcPr>
    </w:tblStylePr>
    <w:tblStylePr w:type="firstCol">
      <w:rPr>
        <w:b/>
        <w:bCs/>
      </w:rPr>
    </w:tblStylePr>
    <w:tblStylePr w:type="lastCol">
      <w:rPr>
        <w:b/>
        <w:bCs/>
      </w:rPr>
    </w:tblStylePr>
    <w:tblStylePr w:type="band1Vert">
      <w:tblPr/>
      <w:tcPr>
        <w:shd w:val="clear" w:color="auto" w:fill="FFFFFF" w:themeFill="text1" w:themeFillTint="7F"/>
      </w:tcPr>
    </w:tblStylePr>
    <w:tblStylePr w:type="band1Horz">
      <w:tblPr/>
      <w:tcPr>
        <w:shd w:val="clear" w:color="auto" w:fill="FFFFFF" w:themeFill="text1" w:themeFillTint="7F"/>
      </w:tcPr>
    </w:tblStylePr>
  </w:style>
  <w:style w:type="table" w:styleId="MediumGrid1-Accent1">
    <w:name w:val="Medium Grid 1 Accent 1"/>
    <w:basedOn w:val="TableNormal"/>
    <w:uiPriority w:val="67"/>
    <w:pPr>
      <w:spacing w:after="0"/>
    </w:pPr>
    <w:tblPr>
      <w:tblStyleRowBandSize w:val="1"/>
      <w:tblStyleColBandSize w:val="1"/>
      <w:tbl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single" w:sz="8" w:space="0" w:color="404040" w:themeColor="accent1" w:themeTint="BF"/>
        <w:insideV w:val="single" w:sz="8" w:space="0" w:color="404040" w:themeColor="accent1" w:themeTint="BF"/>
      </w:tblBorders>
    </w:tblPr>
    <w:tcPr>
      <w:shd w:val="clear" w:color="auto" w:fill="C0C0C0" w:themeFill="accent1" w:themeFillTint="3F"/>
    </w:tcPr>
    <w:tblStylePr w:type="firstRow">
      <w:rPr>
        <w:b/>
        <w:bCs/>
      </w:rPr>
    </w:tblStylePr>
    <w:tblStylePr w:type="lastRow">
      <w:rPr>
        <w:b/>
        <w:bCs/>
      </w:rPr>
      <w:tblPr/>
      <w:tcPr>
        <w:tcBorders>
          <w:top w:val="single" w:sz="18" w:space="0" w:color="404040" w:themeColor="accent1" w:themeTint="BF"/>
        </w:tcBorders>
      </w:tcPr>
    </w:tblStylePr>
    <w:tblStylePr w:type="firstCol">
      <w:rPr>
        <w:b/>
        <w:bCs/>
      </w:rPr>
    </w:tblStylePr>
    <w:tblStylePr w:type="lastCol">
      <w:rPr>
        <w:b/>
        <w:bCs/>
      </w:rPr>
    </w:tblStylePr>
    <w:tblStylePr w:type="band1Vert">
      <w:tblPr/>
      <w:tcPr>
        <w:shd w:val="clear" w:color="auto" w:fill="808080" w:themeFill="accent1" w:themeFillTint="7F"/>
      </w:tcPr>
    </w:tblStylePr>
    <w:tblStylePr w:type="band1Horz">
      <w:tblPr/>
      <w:tcPr>
        <w:shd w:val="clear" w:color="auto" w:fill="808080" w:themeFill="accent1" w:themeFillTint="7F"/>
      </w:tcPr>
    </w:tblStylePr>
  </w:style>
  <w:style w:type="table" w:styleId="MediumGrid1-Accent2">
    <w:name w:val="Medium Grid 1 Accent 2"/>
    <w:basedOn w:val="TableNormal"/>
    <w:uiPriority w:val="67"/>
    <w:pPr>
      <w:spacing w:after="0"/>
    </w:pPr>
    <w:tblPr>
      <w:tblStyleRowBandSize w:val="1"/>
      <w:tblStyleColBandSize w:val="1"/>
      <w:tblBorders>
        <w:top w:val="single" w:sz="8"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single" w:sz="8" w:space="0" w:color="FB0032" w:themeColor="accent2" w:themeTint="BF"/>
        <w:insideV w:val="single" w:sz="8" w:space="0" w:color="FB0032" w:themeColor="accent2" w:themeTint="BF"/>
      </w:tblBorders>
    </w:tblPr>
    <w:tcPr>
      <w:shd w:val="clear" w:color="auto" w:fill="FFA9BA" w:themeFill="accent2" w:themeFillTint="3F"/>
    </w:tcPr>
    <w:tblStylePr w:type="firstRow">
      <w:rPr>
        <w:b/>
        <w:bCs/>
      </w:rPr>
    </w:tblStylePr>
    <w:tblStylePr w:type="lastRow">
      <w:rPr>
        <w:b/>
        <w:bCs/>
      </w:rPr>
      <w:tblPr/>
      <w:tcPr>
        <w:tcBorders>
          <w:top w:val="single" w:sz="18" w:space="0" w:color="FB0032" w:themeColor="accent2" w:themeTint="BF"/>
        </w:tcBorders>
      </w:tcPr>
    </w:tblStylePr>
    <w:tblStylePr w:type="firstCol">
      <w:rPr>
        <w:b/>
        <w:bCs/>
      </w:rPr>
    </w:tblStylePr>
    <w:tblStylePr w:type="lastCol">
      <w:rPr>
        <w:b/>
        <w:bCs/>
      </w:rPr>
    </w:tblStylePr>
    <w:tblStylePr w:type="band1Vert">
      <w:tblPr/>
      <w:tcPr>
        <w:shd w:val="clear" w:color="auto" w:fill="FF5375" w:themeFill="accent2" w:themeFillTint="7F"/>
      </w:tcPr>
    </w:tblStylePr>
    <w:tblStylePr w:type="band1Horz">
      <w:tblPr/>
      <w:tcPr>
        <w:shd w:val="clear" w:color="auto" w:fill="FF5375" w:themeFill="accent2" w:themeFillTint="7F"/>
      </w:tcPr>
    </w:tblStylePr>
  </w:style>
  <w:style w:type="table" w:styleId="MediumGrid1-Accent3">
    <w:name w:val="Medium Grid 1 Accent 3"/>
    <w:basedOn w:val="TableNormal"/>
    <w:uiPriority w:val="67"/>
    <w:pPr>
      <w:spacing w:after="0"/>
    </w:pPr>
    <w:tblPr>
      <w:tblStyleRowBandSize w:val="1"/>
      <w:tblStyleColBandSize w:val="1"/>
      <w:tblBorders>
        <w:top w:val="single" w:sz="8"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single" w:sz="8" w:space="0" w:color="FDC7CB" w:themeColor="accent3" w:themeTint="BF"/>
        <w:insideV w:val="single" w:sz="8" w:space="0" w:color="FDC7CB" w:themeColor="accent3" w:themeTint="BF"/>
      </w:tblBorders>
    </w:tblPr>
    <w:tcPr>
      <w:shd w:val="clear" w:color="auto" w:fill="FEECED" w:themeFill="accent3" w:themeFillTint="3F"/>
    </w:tcPr>
    <w:tblStylePr w:type="firstRow">
      <w:rPr>
        <w:b/>
        <w:bCs/>
      </w:rPr>
    </w:tblStylePr>
    <w:tblStylePr w:type="lastRow">
      <w:rPr>
        <w:b/>
        <w:bCs/>
      </w:rPr>
      <w:tblPr/>
      <w:tcPr>
        <w:tcBorders>
          <w:top w:val="single" w:sz="18" w:space="0" w:color="FDC7CB" w:themeColor="accent3" w:themeTint="BF"/>
        </w:tcBorders>
      </w:tcPr>
    </w:tblStylePr>
    <w:tblStylePr w:type="firstCol">
      <w:rPr>
        <w:b/>
        <w:bCs/>
      </w:rPr>
    </w:tblStylePr>
    <w:tblStylePr w:type="lastCol">
      <w:rPr>
        <w:b/>
        <w:bCs/>
      </w:rPr>
    </w:tblStylePr>
    <w:tblStylePr w:type="band1Vert">
      <w:tblPr/>
      <w:tcPr>
        <w:shd w:val="clear" w:color="auto" w:fill="FEDADC" w:themeFill="accent3" w:themeFillTint="7F"/>
      </w:tcPr>
    </w:tblStylePr>
    <w:tblStylePr w:type="band1Horz">
      <w:tblPr/>
      <w:tcPr>
        <w:shd w:val="clear" w:color="auto" w:fill="FEDADC" w:themeFill="accent3" w:themeFillTint="7F"/>
      </w:tcPr>
    </w:tblStylePr>
  </w:style>
  <w:style w:type="table" w:styleId="MediumGrid1-Accent4">
    <w:name w:val="Medium Grid 1 Accent 4"/>
    <w:basedOn w:val="TableNormal"/>
    <w:uiPriority w:val="67"/>
    <w:pPr>
      <w:spacing w:after="0"/>
    </w:pPr>
    <w:tblPr>
      <w:tblStyleRowBandSize w:val="1"/>
      <w:tblStyleColBandSize w:val="1"/>
      <w:tbl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single" w:sz="8" w:space="0" w:color="FFEDED" w:themeColor="accent4" w:themeTint="BF"/>
        <w:insideV w:val="single" w:sz="8" w:space="0" w:color="FFEDED" w:themeColor="accent4" w:themeTint="BF"/>
      </w:tblBorders>
    </w:tblPr>
    <w:tcPr>
      <w:shd w:val="clear" w:color="auto" w:fill="FFF9F9" w:themeFill="accent4" w:themeFillTint="3F"/>
    </w:tcPr>
    <w:tblStylePr w:type="firstRow">
      <w:rPr>
        <w:b/>
        <w:bCs/>
      </w:rPr>
    </w:tblStylePr>
    <w:tblStylePr w:type="lastRow">
      <w:rPr>
        <w:b/>
        <w:bCs/>
      </w:rPr>
      <w:tblPr/>
      <w:tcPr>
        <w:tcBorders>
          <w:top w:val="single" w:sz="18" w:space="0" w:color="FFEDED" w:themeColor="accent4" w:themeTint="BF"/>
        </w:tcBorders>
      </w:tcPr>
    </w:tblStylePr>
    <w:tblStylePr w:type="firstCol">
      <w:rPr>
        <w:b/>
        <w:bCs/>
      </w:rPr>
    </w:tblStylePr>
    <w:tblStylePr w:type="lastCol">
      <w:rPr>
        <w:b/>
        <w:bCs/>
      </w:rPr>
    </w:tblStylePr>
    <w:tblStylePr w:type="band1Vert">
      <w:tblPr/>
      <w:tcPr>
        <w:shd w:val="clear" w:color="auto" w:fill="FFF3F3" w:themeFill="accent4" w:themeFillTint="7F"/>
      </w:tcPr>
    </w:tblStylePr>
    <w:tblStylePr w:type="band1Horz">
      <w:tblPr/>
      <w:tcPr>
        <w:shd w:val="clear" w:color="auto" w:fill="FFF3F3" w:themeFill="accent4" w:themeFillTint="7F"/>
      </w:tcPr>
    </w:tblStylePr>
  </w:style>
  <w:style w:type="table" w:styleId="MediumGrid1-Accent5">
    <w:name w:val="Medium Grid 1 Accent 5"/>
    <w:basedOn w:val="TableNormal"/>
    <w:uiPriority w:val="67"/>
    <w:pPr>
      <w:spacing w:after="0"/>
    </w:pPr>
    <w:tblPr>
      <w:tblStyleRowBandSize w:val="1"/>
      <w:tblStyleColBandSize w:val="1"/>
      <w:tbl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single" w:sz="8" w:space="0" w:color="FEE3E5" w:themeColor="accent5" w:themeTint="BF"/>
        <w:insideV w:val="single" w:sz="8" w:space="0" w:color="FEE3E5" w:themeColor="accent5" w:themeTint="BF"/>
      </w:tblBorders>
    </w:tblPr>
    <w:tcPr>
      <w:shd w:val="clear" w:color="auto" w:fill="FEF5F6" w:themeFill="accent5" w:themeFillTint="3F"/>
    </w:tcPr>
    <w:tblStylePr w:type="firstRow">
      <w:rPr>
        <w:b/>
        <w:bCs/>
      </w:rPr>
    </w:tblStylePr>
    <w:tblStylePr w:type="lastRow">
      <w:rPr>
        <w:b/>
        <w:bCs/>
      </w:rPr>
      <w:tblPr/>
      <w:tcPr>
        <w:tcBorders>
          <w:top w:val="single" w:sz="18" w:space="0" w:color="FEE3E5" w:themeColor="accent5" w:themeTint="BF"/>
        </w:tcBorders>
      </w:tcPr>
    </w:tblStylePr>
    <w:tblStylePr w:type="firstCol">
      <w:rPr>
        <w:b/>
        <w:bCs/>
      </w:rPr>
    </w:tblStylePr>
    <w:tblStylePr w:type="lastCol">
      <w:rPr>
        <w:b/>
        <w:bCs/>
      </w:rPr>
    </w:tblStylePr>
    <w:tblStylePr w:type="band1Vert">
      <w:tblPr/>
      <w:tcPr>
        <w:shd w:val="clear" w:color="auto" w:fill="FEECED" w:themeFill="accent5" w:themeFillTint="7F"/>
      </w:tcPr>
    </w:tblStylePr>
    <w:tblStylePr w:type="band1Horz">
      <w:tblPr/>
      <w:tcPr>
        <w:shd w:val="clear" w:color="auto" w:fill="FEECED" w:themeFill="accent5" w:themeFillTint="7F"/>
      </w:tcPr>
    </w:tblStylePr>
  </w:style>
  <w:style w:type="table" w:styleId="MediumGrid1-Accent6">
    <w:name w:val="Medium Grid 1 Accent 6"/>
    <w:basedOn w:val="TableNormal"/>
    <w:uiPriority w:val="67"/>
    <w:pPr>
      <w:spacing w:after="0"/>
    </w:pPr>
    <w:tblPr>
      <w:tblStyleRowBandSize w:val="1"/>
      <w:tblStyleColBandSize w:val="1"/>
      <w:tbl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single" w:sz="8" w:space="0" w:color="D30027" w:themeColor="accent6" w:themeTint="BF"/>
        <w:insideV w:val="single" w:sz="8" w:space="0" w:color="D30027" w:themeColor="accent6" w:themeTint="BF"/>
      </w:tblBorders>
    </w:tblPr>
    <w:tcPr>
      <w:shd w:val="clear" w:color="auto" w:fill="FF9CAE" w:themeFill="accent6" w:themeFillTint="3F"/>
    </w:tcPr>
    <w:tblStylePr w:type="firstRow">
      <w:rPr>
        <w:b/>
        <w:bCs/>
      </w:rPr>
    </w:tblStylePr>
    <w:tblStylePr w:type="lastRow">
      <w:rPr>
        <w:b/>
        <w:bCs/>
      </w:rPr>
      <w:tblPr/>
      <w:tcPr>
        <w:tcBorders>
          <w:top w:val="single" w:sz="18" w:space="0" w:color="D30027" w:themeColor="accent6" w:themeTint="BF"/>
        </w:tcBorders>
      </w:tcPr>
    </w:tblStylePr>
    <w:tblStylePr w:type="firstCol">
      <w:rPr>
        <w:b/>
        <w:bCs/>
      </w:rPr>
    </w:tblStylePr>
    <w:tblStylePr w:type="lastCol">
      <w:rPr>
        <w:b/>
        <w:bCs/>
      </w:rPr>
    </w:tblStylePr>
    <w:tblStylePr w:type="band1Vert">
      <w:tblPr/>
      <w:tcPr>
        <w:shd w:val="clear" w:color="auto" w:fill="FF385D" w:themeFill="accent6" w:themeFillTint="7F"/>
      </w:tcPr>
    </w:tblStylePr>
    <w:tblStylePr w:type="band1Horz">
      <w:tblPr/>
      <w:tcPr>
        <w:shd w:val="clear" w:color="auto" w:fill="FF385D" w:themeFill="accent6" w:themeFillTint="7F"/>
      </w:tcPr>
    </w:tblStylePr>
  </w:style>
  <w:style w:type="table" w:styleId="MediumGrid2">
    <w:name w:val="Medium Grid 2"/>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insideH w:val="single" w:sz="8" w:space="0" w:color="FFFFFF" w:themeColor="text1"/>
        <w:insideV w:val="single" w:sz="8" w:space="0" w:color="FFFFFF" w:themeColor="text1"/>
      </w:tblBorders>
    </w:tblPr>
    <w:tcPr>
      <w:shd w:val="clear" w:color="auto" w:fill="FFFFFF" w:themeFill="text1" w:themeFillTint="3F"/>
    </w:tcPr>
    <w:tblStylePr w:type="firstRow">
      <w:rPr>
        <w:b/>
        <w:bCs/>
        <w:color w:val="FFFFFF" w:themeColor="text1"/>
      </w:rPr>
      <w:tblPr/>
      <w:tcPr>
        <w:shd w:val="clear" w:color="auto" w:fill="FFFFFF" w:themeFill="text1"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FFFF" w:themeFill="text1" w:themeFillTint="33"/>
      </w:tcPr>
    </w:tblStylePr>
    <w:tblStylePr w:type="band1Vert">
      <w:tblPr/>
      <w:tcPr>
        <w:shd w:val="clear" w:color="auto" w:fill="FFFFFF" w:themeFill="text1" w:themeFillTint="7F"/>
      </w:tcPr>
    </w:tblStylePr>
    <w:tblStylePr w:type="band1Horz">
      <w:tblPr/>
      <w:tcPr>
        <w:tcBorders>
          <w:insideH w:val="single" w:sz="6" w:space="0" w:color="FFFFFF" w:themeColor="text1"/>
          <w:insideV w:val="single" w:sz="6" w:space="0" w:color="FFFFFF" w:themeColor="text1"/>
        </w:tcBorders>
        <w:shd w:val="clear" w:color="auto" w:fill="FFFFF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insideH w:val="single" w:sz="8" w:space="0" w:color="000000" w:themeColor="accent1"/>
        <w:insideV w:val="single" w:sz="8" w:space="0" w:color="000000" w:themeColor="accent1"/>
      </w:tblBorders>
    </w:tblPr>
    <w:tcPr>
      <w:shd w:val="clear" w:color="auto" w:fill="C0C0C0" w:themeFill="accent1" w:themeFillTint="3F"/>
    </w:tcPr>
    <w:tblStylePr w:type="firstRow">
      <w:rPr>
        <w:b/>
        <w:bCs/>
        <w:color w:val="FFFFFF" w:themeColor="text1"/>
      </w:rPr>
      <w:tblPr/>
      <w:tcPr>
        <w:shd w:val="clear" w:color="auto" w:fill="E6E6E6" w:themeFill="accent1"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CCCCCC" w:themeFill="accent1" w:themeFillTint="33"/>
      </w:tcPr>
    </w:tblStylePr>
    <w:tblStylePr w:type="band1Vert">
      <w:tblPr/>
      <w:tcPr>
        <w:shd w:val="clear" w:color="auto" w:fill="808080" w:themeFill="accent1" w:themeFillTint="7F"/>
      </w:tcPr>
    </w:tblStylePr>
    <w:tblStylePr w:type="band1Horz">
      <w:tblPr/>
      <w:tcPr>
        <w:tcBorders>
          <w:insideH w:val="single" w:sz="6" w:space="0" w:color="000000" w:themeColor="accent1"/>
          <w:insideV w:val="single" w:sz="6" w:space="0" w:color="000000" w:themeColor="accent1"/>
        </w:tcBorders>
        <w:shd w:val="clear" w:color="auto" w:fill="808080"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insideH w:val="single" w:sz="8" w:space="0" w:color="A50021" w:themeColor="accent2"/>
        <w:insideV w:val="single" w:sz="8" w:space="0" w:color="A50021" w:themeColor="accent2"/>
      </w:tblBorders>
    </w:tblPr>
    <w:tcPr>
      <w:shd w:val="clear" w:color="auto" w:fill="FFA9BA" w:themeFill="accent2" w:themeFillTint="3F"/>
    </w:tcPr>
    <w:tblStylePr w:type="firstRow">
      <w:rPr>
        <w:b/>
        <w:bCs/>
        <w:color w:val="FFFFFF" w:themeColor="text1"/>
      </w:rPr>
      <w:tblPr/>
      <w:tcPr>
        <w:shd w:val="clear" w:color="auto" w:fill="FFDDE3" w:themeFill="accent2"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BAC7" w:themeFill="accent2" w:themeFillTint="33"/>
      </w:tcPr>
    </w:tblStylePr>
    <w:tblStylePr w:type="band1Vert">
      <w:tblPr/>
      <w:tcPr>
        <w:shd w:val="clear" w:color="auto" w:fill="FF5375" w:themeFill="accent2" w:themeFillTint="7F"/>
      </w:tcPr>
    </w:tblStylePr>
    <w:tblStylePr w:type="band1Horz">
      <w:tblPr/>
      <w:tcPr>
        <w:tcBorders>
          <w:insideH w:val="single" w:sz="6" w:space="0" w:color="A50021" w:themeColor="accent2"/>
          <w:insideV w:val="single" w:sz="6" w:space="0" w:color="A50021" w:themeColor="accent2"/>
        </w:tcBorders>
        <w:shd w:val="clear" w:color="auto" w:fill="FF5375"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insideH w:val="single" w:sz="8" w:space="0" w:color="FDB5BA" w:themeColor="accent3"/>
        <w:insideV w:val="single" w:sz="8" w:space="0" w:color="FDB5BA" w:themeColor="accent3"/>
      </w:tblBorders>
    </w:tblPr>
    <w:tcPr>
      <w:shd w:val="clear" w:color="auto" w:fill="FEECED" w:themeFill="accent3" w:themeFillTint="3F"/>
    </w:tcPr>
    <w:tblStylePr w:type="firstRow">
      <w:rPr>
        <w:b/>
        <w:bCs/>
        <w:color w:val="FFFFFF" w:themeColor="text1"/>
      </w:rPr>
      <w:tblPr/>
      <w:tcPr>
        <w:shd w:val="clear" w:color="auto" w:fill="FEF7F7" w:themeFill="accent3"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EF0F0" w:themeFill="accent3" w:themeFillTint="33"/>
      </w:tcPr>
    </w:tblStylePr>
    <w:tblStylePr w:type="band1Vert">
      <w:tblPr/>
      <w:tcPr>
        <w:shd w:val="clear" w:color="auto" w:fill="FEDADC" w:themeFill="accent3" w:themeFillTint="7F"/>
      </w:tcPr>
    </w:tblStylePr>
    <w:tblStylePr w:type="band1Horz">
      <w:tblPr/>
      <w:tcPr>
        <w:tcBorders>
          <w:insideH w:val="single" w:sz="6" w:space="0" w:color="FDB5BA" w:themeColor="accent3"/>
          <w:insideV w:val="single" w:sz="6" w:space="0" w:color="FDB5BA" w:themeColor="accent3"/>
        </w:tcBorders>
        <w:shd w:val="clear" w:color="auto" w:fill="FEDAD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insideH w:val="single" w:sz="8" w:space="0" w:color="FFE7E7" w:themeColor="accent4"/>
        <w:insideV w:val="single" w:sz="8" w:space="0" w:color="FFE7E7" w:themeColor="accent4"/>
      </w:tblBorders>
    </w:tblPr>
    <w:tcPr>
      <w:shd w:val="clear" w:color="auto" w:fill="FFF9F9" w:themeFill="accent4" w:themeFillTint="3F"/>
    </w:tcPr>
    <w:tblStylePr w:type="firstRow">
      <w:rPr>
        <w:b/>
        <w:bCs/>
        <w:color w:val="FFFFFF" w:themeColor="text1"/>
      </w:rPr>
      <w:tblPr/>
      <w:tcPr>
        <w:shd w:val="clear" w:color="auto" w:fill="FFFCFC" w:themeFill="accent4"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FAFA" w:themeFill="accent4" w:themeFillTint="33"/>
      </w:tcPr>
    </w:tblStylePr>
    <w:tblStylePr w:type="band1Vert">
      <w:tblPr/>
      <w:tcPr>
        <w:shd w:val="clear" w:color="auto" w:fill="FFF3F3" w:themeFill="accent4" w:themeFillTint="7F"/>
      </w:tcPr>
    </w:tblStylePr>
    <w:tblStylePr w:type="band1Horz">
      <w:tblPr/>
      <w:tcPr>
        <w:tcBorders>
          <w:insideH w:val="single" w:sz="6" w:space="0" w:color="FFE7E7" w:themeColor="accent4"/>
          <w:insideV w:val="single" w:sz="6" w:space="0" w:color="FFE7E7" w:themeColor="accent4"/>
        </w:tcBorders>
        <w:shd w:val="clear" w:color="auto" w:fill="FFF3F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insideH w:val="single" w:sz="8" w:space="0" w:color="FEDADD" w:themeColor="accent5"/>
        <w:insideV w:val="single" w:sz="8" w:space="0" w:color="FEDADD" w:themeColor="accent5"/>
      </w:tblBorders>
    </w:tblPr>
    <w:tcPr>
      <w:shd w:val="clear" w:color="auto" w:fill="FEF5F6" w:themeFill="accent5" w:themeFillTint="3F"/>
    </w:tcPr>
    <w:tblStylePr w:type="firstRow">
      <w:rPr>
        <w:b/>
        <w:bCs/>
        <w:color w:val="FFFFFF" w:themeColor="text1"/>
      </w:rPr>
      <w:tblPr/>
      <w:tcPr>
        <w:shd w:val="clear" w:color="auto" w:fill="FFFBFB" w:themeFill="accent5"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EF7F8" w:themeFill="accent5" w:themeFillTint="33"/>
      </w:tcPr>
    </w:tblStylePr>
    <w:tblStylePr w:type="band1Vert">
      <w:tblPr/>
      <w:tcPr>
        <w:shd w:val="clear" w:color="auto" w:fill="FEECED" w:themeFill="accent5" w:themeFillTint="7F"/>
      </w:tcPr>
    </w:tblStylePr>
    <w:tblStylePr w:type="band1Horz">
      <w:tblPr/>
      <w:tcPr>
        <w:tcBorders>
          <w:insideH w:val="single" w:sz="6" w:space="0" w:color="FEDADD" w:themeColor="accent5"/>
          <w:insideV w:val="single" w:sz="6" w:space="0" w:color="FEDADD" w:themeColor="accent5"/>
        </w:tcBorders>
        <w:shd w:val="clear" w:color="auto" w:fill="FEECED"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pPr>
      <w:spacing w:after="0"/>
    </w:pPr>
    <w:rPr>
      <w:rFonts w:asciiTheme="majorHAnsi" w:eastAsiaTheme="majorEastAsia" w:hAnsiTheme="majorHAnsi" w:cstheme="majorBidi"/>
      <w:color w:val="FFFFFF" w:themeColor="text1"/>
    </w:r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insideH w:val="single" w:sz="8" w:space="0" w:color="700015" w:themeColor="accent6"/>
        <w:insideV w:val="single" w:sz="8" w:space="0" w:color="700015" w:themeColor="accent6"/>
      </w:tblBorders>
    </w:tblPr>
    <w:tcPr>
      <w:shd w:val="clear" w:color="auto" w:fill="FF9CAE" w:themeFill="accent6" w:themeFillTint="3F"/>
    </w:tcPr>
    <w:tblStylePr w:type="firstRow">
      <w:rPr>
        <w:b/>
        <w:bCs/>
        <w:color w:val="FFFFFF" w:themeColor="text1"/>
      </w:rPr>
      <w:tblPr/>
      <w:tcPr>
        <w:shd w:val="clear" w:color="auto" w:fill="FFD7DE" w:themeFill="accent6" w:themeFillTint="19"/>
      </w:tcPr>
    </w:tblStylePr>
    <w:tblStylePr w:type="lastRow">
      <w:rPr>
        <w:b/>
        <w:bCs/>
        <w:color w:val="FFFFFF" w:themeColor="text1"/>
      </w:rPr>
      <w:tblPr/>
      <w:tcPr>
        <w:tcBorders>
          <w:top w:val="single" w:sz="12" w:space="0" w:color="FFFFFF" w:themeColor="text1"/>
          <w:left w:val="nil"/>
          <w:bottom w:val="nil"/>
          <w:right w:val="nil"/>
          <w:insideH w:val="nil"/>
          <w:insideV w:val="nil"/>
        </w:tcBorders>
        <w:shd w:val="clear" w:color="auto" w:fill="FFFFFF" w:themeFill="background1"/>
      </w:tcPr>
    </w:tblStylePr>
    <w:tblStylePr w:type="firstCol">
      <w:rPr>
        <w:b/>
        <w:bCs/>
        <w:color w:val="FFFFFF"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FFFFFF" w:themeColor="text1"/>
      </w:rPr>
      <w:tblPr/>
      <w:tcPr>
        <w:tcBorders>
          <w:top w:val="nil"/>
          <w:left w:val="nil"/>
          <w:bottom w:val="nil"/>
          <w:right w:val="nil"/>
          <w:insideH w:val="nil"/>
          <w:insideV w:val="nil"/>
        </w:tcBorders>
        <w:shd w:val="clear" w:color="auto" w:fill="FFAFBE" w:themeFill="accent6" w:themeFillTint="33"/>
      </w:tcPr>
    </w:tblStylePr>
    <w:tblStylePr w:type="band1Vert">
      <w:tblPr/>
      <w:tcPr>
        <w:shd w:val="clear" w:color="auto" w:fill="FF385D" w:themeFill="accent6" w:themeFillTint="7F"/>
      </w:tcPr>
    </w:tblStylePr>
    <w:tblStylePr w:type="band1Horz">
      <w:tblPr/>
      <w:tcPr>
        <w:tcBorders>
          <w:insideH w:val="single" w:sz="6" w:space="0" w:color="700015" w:themeColor="accent6"/>
          <w:insideV w:val="single" w:sz="6" w:space="0" w:color="700015" w:themeColor="accent6"/>
        </w:tcBorders>
        <w:shd w:val="clear" w:color="auto" w:fill="FF385D"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FFF"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FFFF"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FFFF"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FFFF"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FFFF"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FF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FFF" w:themeFill="text1" w:themeFillTint="7F"/>
      </w:tcPr>
    </w:tblStylePr>
  </w:style>
  <w:style w:type="table" w:styleId="MediumGrid3-Accent1">
    <w:name w:val="Medium Grid 3 Accent 1"/>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accent1" w:themeFillTint="7F"/>
      </w:tcPr>
    </w:tblStylePr>
  </w:style>
  <w:style w:type="table" w:styleId="MediumGrid3-Accent2">
    <w:name w:val="Medium Grid 3 Accent 2"/>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A9BA"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002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002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002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002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537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5375" w:themeFill="accent2" w:themeFillTint="7F"/>
      </w:tcPr>
    </w:tblStylePr>
  </w:style>
  <w:style w:type="table" w:styleId="MediumGrid3-Accent3">
    <w:name w:val="Medium Grid 3 Accent 3"/>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ECED"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DB5BA"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DB5BA"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DB5BA"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DB5BA"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DAD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DADC" w:themeFill="accent3" w:themeFillTint="7F"/>
      </w:tcPr>
    </w:tblStylePr>
  </w:style>
  <w:style w:type="table" w:styleId="MediumGrid3-Accent4">
    <w:name w:val="Medium Grid 3 Accent 4"/>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9F9"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E7E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E7E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E7E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E7E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F3F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F3F3" w:themeFill="accent4" w:themeFillTint="7F"/>
      </w:tcPr>
    </w:tblStylePr>
  </w:style>
  <w:style w:type="table" w:styleId="MediumGrid3-Accent5">
    <w:name w:val="Medium Grid 3 Accent 5"/>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EF5F6"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EDADD"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EDADD"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EDADD"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EDADD"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EECED"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EECED" w:themeFill="accent5" w:themeFillTint="7F"/>
      </w:tcPr>
    </w:tblStylePr>
  </w:style>
  <w:style w:type="table" w:styleId="MediumGrid3-Accent6">
    <w:name w:val="Medium Grid 3 Accent 6"/>
    <w:basedOn w:val="TableNormal"/>
    <w:uiPriority w:val="69"/>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AE"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0015"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0015"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0015"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0015"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5D"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5D" w:themeFill="accent6" w:themeFillTint="7F"/>
      </w:tcPr>
    </w:tblStylePr>
  </w:style>
  <w:style w:type="table" w:styleId="MediumList1">
    <w:name w:val="Medium List 1"/>
    <w:basedOn w:val="TableNormal"/>
    <w:uiPriority w:val="65"/>
    <w:pPr>
      <w:spacing w:after="0"/>
    </w:pPr>
    <w:rPr>
      <w:color w:val="FFFFFF" w:themeColor="text1"/>
    </w:rPr>
    <w:tblPr>
      <w:tblStyleRowBandSize w:val="1"/>
      <w:tblStyleColBandSize w:val="1"/>
      <w:tblBorders>
        <w:top w:val="single" w:sz="8" w:space="0" w:color="FFFFFF" w:themeColor="text1"/>
        <w:bottom w:val="single" w:sz="8" w:space="0" w:color="FFFFFF" w:themeColor="text1"/>
      </w:tblBorders>
    </w:tblPr>
    <w:tblStylePr w:type="firstRow">
      <w:rPr>
        <w:rFonts w:asciiTheme="majorHAnsi" w:eastAsiaTheme="majorEastAsia" w:hAnsiTheme="majorHAnsi" w:cstheme="majorBidi"/>
      </w:rPr>
      <w:tblPr/>
      <w:tcPr>
        <w:tcBorders>
          <w:top w:val="nil"/>
          <w:bottom w:val="single" w:sz="8" w:space="0" w:color="FFFFFF" w:themeColor="text1"/>
        </w:tcBorders>
      </w:tcPr>
    </w:tblStylePr>
    <w:tblStylePr w:type="lastRow">
      <w:rPr>
        <w:b/>
        <w:bCs/>
        <w:color w:val="FFFFFF" w:themeColor="text2"/>
      </w:rPr>
      <w:tblPr/>
      <w:tcPr>
        <w:tcBorders>
          <w:top w:val="single" w:sz="8" w:space="0" w:color="FFFFFF" w:themeColor="text1"/>
          <w:bottom w:val="single" w:sz="8" w:space="0" w:color="FFFFFF" w:themeColor="text1"/>
        </w:tcBorders>
      </w:tcPr>
    </w:tblStylePr>
    <w:tblStylePr w:type="firstCol">
      <w:rPr>
        <w:b/>
        <w:bCs/>
      </w:rPr>
    </w:tblStylePr>
    <w:tblStylePr w:type="lastCol">
      <w:rPr>
        <w:b/>
        <w:bCs/>
      </w:rPr>
      <w:tblPr/>
      <w:tcPr>
        <w:tcBorders>
          <w:top w:val="single" w:sz="8" w:space="0" w:color="FFFFFF" w:themeColor="text1"/>
          <w:bottom w:val="single" w:sz="8" w:space="0" w:color="FFFFFF" w:themeColor="text1"/>
        </w:tcBorders>
      </w:tcPr>
    </w:tblStylePr>
    <w:tblStylePr w:type="band1Vert">
      <w:tblPr/>
      <w:tcPr>
        <w:shd w:val="clear" w:color="auto" w:fill="FFFFFF" w:themeFill="text1" w:themeFillTint="3F"/>
      </w:tcPr>
    </w:tblStylePr>
    <w:tblStylePr w:type="band1Horz">
      <w:tblPr/>
      <w:tcPr>
        <w:shd w:val="clear" w:color="auto" w:fill="FFFFFF" w:themeFill="text1" w:themeFillTint="3F"/>
      </w:tcPr>
    </w:tblStylePr>
  </w:style>
  <w:style w:type="table" w:styleId="MediumList1-Accent1">
    <w:name w:val="Medium List 1 Accent 1"/>
    <w:basedOn w:val="TableNormal"/>
    <w:uiPriority w:val="65"/>
    <w:pPr>
      <w:spacing w:after="0"/>
    </w:pPr>
    <w:rPr>
      <w:color w:val="FFFFFF" w:themeColor="text1"/>
    </w:rPr>
    <w:tblPr>
      <w:tblStyleRowBandSize w:val="1"/>
      <w:tblStyleColBandSize w:val="1"/>
      <w:tblBorders>
        <w:top w:val="single" w:sz="8" w:space="0" w:color="000000" w:themeColor="accent1"/>
        <w:bottom w:val="single" w:sz="8" w:space="0" w:color="000000" w:themeColor="accent1"/>
      </w:tblBorders>
    </w:tblPr>
    <w:tblStylePr w:type="firstRow">
      <w:rPr>
        <w:rFonts w:asciiTheme="majorHAnsi" w:eastAsiaTheme="majorEastAsia" w:hAnsiTheme="majorHAnsi" w:cstheme="majorBidi"/>
      </w:rPr>
      <w:tblPr/>
      <w:tcPr>
        <w:tcBorders>
          <w:top w:val="nil"/>
          <w:bottom w:val="single" w:sz="8" w:space="0" w:color="000000" w:themeColor="accent1"/>
        </w:tcBorders>
      </w:tcPr>
    </w:tblStylePr>
    <w:tblStylePr w:type="lastRow">
      <w:rPr>
        <w:b/>
        <w:bCs/>
        <w:color w:val="FFFFFF" w:themeColor="text2"/>
      </w:rPr>
      <w:tblPr/>
      <w:tcPr>
        <w:tcBorders>
          <w:top w:val="single" w:sz="8" w:space="0" w:color="000000" w:themeColor="accent1"/>
          <w:bottom w:val="single" w:sz="8" w:space="0" w:color="000000" w:themeColor="accent1"/>
        </w:tcBorders>
      </w:tcPr>
    </w:tblStylePr>
    <w:tblStylePr w:type="firstCol">
      <w:rPr>
        <w:b/>
        <w:bCs/>
      </w:rPr>
    </w:tblStylePr>
    <w:tblStylePr w:type="lastCol">
      <w:rPr>
        <w:b/>
        <w:bCs/>
      </w:rPr>
      <w:tblPr/>
      <w:tcPr>
        <w:tcBorders>
          <w:top w:val="single" w:sz="8" w:space="0" w:color="000000" w:themeColor="accent1"/>
          <w:bottom w:val="single" w:sz="8" w:space="0" w:color="000000" w:themeColor="accent1"/>
        </w:tcBorders>
      </w:tcPr>
    </w:tblStylePr>
    <w:tblStylePr w:type="band1Vert">
      <w:tblPr/>
      <w:tcPr>
        <w:shd w:val="clear" w:color="auto" w:fill="C0C0C0" w:themeFill="accent1" w:themeFillTint="3F"/>
      </w:tcPr>
    </w:tblStylePr>
    <w:tblStylePr w:type="band1Horz">
      <w:tblPr/>
      <w:tcPr>
        <w:shd w:val="clear" w:color="auto" w:fill="C0C0C0" w:themeFill="accent1" w:themeFillTint="3F"/>
      </w:tcPr>
    </w:tblStylePr>
  </w:style>
  <w:style w:type="table" w:styleId="MediumList1-Accent2">
    <w:name w:val="Medium List 1 Accent 2"/>
    <w:basedOn w:val="TableNormal"/>
    <w:uiPriority w:val="65"/>
    <w:pPr>
      <w:spacing w:after="0"/>
    </w:pPr>
    <w:rPr>
      <w:color w:val="FFFFFF" w:themeColor="text1"/>
    </w:rPr>
    <w:tblPr>
      <w:tblStyleRowBandSize w:val="1"/>
      <w:tblStyleColBandSize w:val="1"/>
      <w:tblBorders>
        <w:top w:val="single" w:sz="8" w:space="0" w:color="A50021" w:themeColor="accent2"/>
        <w:bottom w:val="single" w:sz="8" w:space="0" w:color="A50021" w:themeColor="accent2"/>
      </w:tblBorders>
    </w:tblPr>
    <w:tblStylePr w:type="firstRow">
      <w:rPr>
        <w:rFonts w:asciiTheme="majorHAnsi" w:eastAsiaTheme="majorEastAsia" w:hAnsiTheme="majorHAnsi" w:cstheme="majorBidi"/>
      </w:rPr>
      <w:tblPr/>
      <w:tcPr>
        <w:tcBorders>
          <w:top w:val="nil"/>
          <w:bottom w:val="single" w:sz="8" w:space="0" w:color="A50021" w:themeColor="accent2"/>
        </w:tcBorders>
      </w:tcPr>
    </w:tblStylePr>
    <w:tblStylePr w:type="lastRow">
      <w:rPr>
        <w:b/>
        <w:bCs/>
        <w:color w:val="FFFFFF" w:themeColor="text2"/>
      </w:rPr>
      <w:tblPr/>
      <w:tcPr>
        <w:tcBorders>
          <w:top w:val="single" w:sz="8" w:space="0" w:color="A50021" w:themeColor="accent2"/>
          <w:bottom w:val="single" w:sz="8" w:space="0" w:color="A50021" w:themeColor="accent2"/>
        </w:tcBorders>
      </w:tcPr>
    </w:tblStylePr>
    <w:tblStylePr w:type="firstCol">
      <w:rPr>
        <w:b/>
        <w:bCs/>
      </w:rPr>
    </w:tblStylePr>
    <w:tblStylePr w:type="lastCol">
      <w:rPr>
        <w:b/>
        <w:bCs/>
      </w:rPr>
      <w:tblPr/>
      <w:tcPr>
        <w:tcBorders>
          <w:top w:val="single" w:sz="8" w:space="0" w:color="A50021" w:themeColor="accent2"/>
          <w:bottom w:val="single" w:sz="8" w:space="0" w:color="A50021" w:themeColor="accent2"/>
        </w:tcBorders>
      </w:tcPr>
    </w:tblStylePr>
    <w:tblStylePr w:type="band1Vert">
      <w:tblPr/>
      <w:tcPr>
        <w:shd w:val="clear" w:color="auto" w:fill="FFA9BA" w:themeFill="accent2" w:themeFillTint="3F"/>
      </w:tcPr>
    </w:tblStylePr>
    <w:tblStylePr w:type="band1Horz">
      <w:tblPr/>
      <w:tcPr>
        <w:shd w:val="clear" w:color="auto" w:fill="FFA9BA" w:themeFill="accent2" w:themeFillTint="3F"/>
      </w:tcPr>
    </w:tblStylePr>
  </w:style>
  <w:style w:type="table" w:styleId="MediumList1-Accent3">
    <w:name w:val="Medium List 1 Accent 3"/>
    <w:basedOn w:val="TableNormal"/>
    <w:uiPriority w:val="65"/>
    <w:pPr>
      <w:spacing w:after="0"/>
    </w:pPr>
    <w:rPr>
      <w:color w:val="FFFFFF" w:themeColor="text1"/>
    </w:rPr>
    <w:tblPr>
      <w:tblStyleRowBandSize w:val="1"/>
      <w:tblStyleColBandSize w:val="1"/>
      <w:tblBorders>
        <w:top w:val="single" w:sz="8" w:space="0" w:color="FDB5BA" w:themeColor="accent3"/>
        <w:bottom w:val="single" w:sz="8" w:space="0" w:color="FDB5BA" w:themeColor="accent3"/>
      </w:tblBorders>
    </w:tblPr>
    <w:tblStylePr w:type="firstRow">
      <w:rPr>
        <w:rFonts w:asciiTheme="majorHAnsi" w:eastAsiaTheme="majorEastAsia" w:hAnsiTheme="majorHAnsi" w:cstheme="majorBidi"/>
      </w:rPr>
      <w:tblPr/>
      <w:tcPr>
        <w:tcBorders>
          <w:top w:val="nil"/>
          <w:bottom w:val="single" w:sz="8" w:space="0" w:color="FDB5BA" w:themeColor="accent3"/>
        </w:tcBorders>
      </w:tcPr>
    </w:tblStylePr>
    <w:tblStylePr w:type="lastRow">
      <w:rPr>
        <w:b/>
        <w:bCs/>
        <w:color w:val="FFFFFF" w:themeColor="text2"/>
      </w:rPr>
      <w:tblPr/>
      <w:tcPr>
        <w:tcBorders>
          <w:top w:val="single" w:sz="8" w:space="0" w:color="FDB5BA" w:themeColor="accent3"/>
          <w:bottom w:val="single" w:sz="8" w:space="0" w:color="FDB5BA" w:themeColor="accent3"/>
        </w:tcBorders>
      </w:tcPr>
    </w:tblStylePr>
    <w:tblStylePr w:type="firstCol">
      <w:rPr>
        <w:b/>
        <w:bCs/>
      </w:rPr>
    </w:tblStylePr>
    <w:tblStylePr w:type="lastCol">
      <w:rPr>
        <w:b/>
        <w:bCs/>
      </w:rPr>
      <w:tblPr/>
      <w:tcPr>
        <w:tcBorders>
          <w:top w:val="single" w:sz="8" w:space="0" w:color="FDB5BA" w:themeColor="accent3"/>
          <w:bottom w:val="single" w:sz="8" w:space="0" w:color="FDB5BA" w:themeColor="accent3"/>
        </w:tcBorders>
      </w:tcPr>
    </w:tblStylePr>
    <w:tblStylePr w:type="band1Vert">
      <w:tblPr/>
      <w:tcPr>
        <w:shd w:val="clear" w:color="auto" w:fill="FEECED" w:themeFill="accent3" w:themeFillTint="3F"/>
      </w:tcPr>
    </w:tblStylePr>
    <w:tblStylePr w:type="band1Horz">
      <w:tblPr/>
      <w:tcPr>
        <w:shd w:val="clear" w:color="auto" w:fill="FEECED" w:themeFill="accent3" w:themeFillTint="3F"/>
      </w:tcPr>
    </w:tblStylePr>
  </w:style>
  <w:style w:type="table" w:styleId="MediumList1-Accent4">
    <w:name w:val="Medium List 1 Accent 4"/>
    <w:basedOn w:val="TableNormal"/>
    <w:uiPriority w:val="65"/>
    <w:pPr>
      <w:spacing w:after="0"/>
    </w:pPr>
    <w:rPr>
      <w:color w:val="FFFFFF" w:themeColor="text1"/>
    </w:rPr>
    <w:tblPr>
      <w:tblStyleRowBandSize w:val="1"/>
      <w:tblStyleColBandSize w:val="1"/>
      <w:tblBorders>
        <w:top w:val="single" w:sz="8" w:space="0" w:color="FFE7E7" w:themeColor="accent4"/>
        <w:bottom w:val="single" w:sz="8" w:space="0" w:color="FFE7E7" w:themeColor="accent4"/>
      </w:tblBorders>
    </w:tblPr>
    <w:tblStylePr w:type="firstRow">
      <w:rPr>
        <w:rFonts w:asciiTheme="majorHAnsi" w:eastAsiaTheme="majorEastAsia" w:hAnsiTheme="majorHAnsi" w:cstheme="majorBidi"/>
      </w:rPr>
      <w:tblPr/>
      <w:tcPr>
        <w:tcBorders>
          <w:top w:val="nil"/>
          <w:bottom w:val="single" w:sz="8" w:space="0" w:color="FFE7E7" w:themeColor="accent4"/>
        </w:tcBorders>
      </w:tcPr>
    </w:tblStylePr>
    <w:tblStylePr w:type="lastRow">
      <w:rPr>
        <w:b/>
        <w:bCs/>
        <w:color w:val="FFFFFF" w:themeColor="text2"/>
      </w:rPr>
      <w:tblPr/>
      <w:tcPr>
        <w:tcBorders>
          <w:top w:val="single" w:sz="8" w:space="0" w:color="FFE7E7" w:themeColor="accent4"/>
          <w:bottom w:val="single" w:sz="8" w:space="0" w:color="FFE7E7" w:themeColor="accent4"/>
        </w:tcBorders>
      </w:tcPr>
    </w:tblStylePr>
    <w:tblStylePr w:type="firstCol">
      <w:rPr>
        <w:b/>
        <w:bCs/>
      </w:rPr>
    </w:tblStylePr>
    <w:tblStylePr w:type="lastCol">
      <w:rPr>
        <w:b/>
        <w:bCs/>
      </w:rPr>
      <w:tblPr/>
      <w:tcPr>
        <w:tcBorders>
          <w:top w:val="single" w:sz="8" w:space="0" w:color="FFE7E7" w:themeColor="accent4"/>
          <w:bottom w:val="single" w:sz="8" w:space="0" w:color="FFE7E7" w:themeColor="accent4"/>
        </w:tcBorders>
      </w:tcPr>
    </w:tblStylePr>
    <w:tblStylePr w:type="band1Vert">
      <w:tblPr/>
      <w:tcPr>
        <w:shd w:val="clear" w:color="auto" w:fill="FFF9F9" w:themeFill="accent4" w:themeFillTint="3F"/>
      </w:tcPr>
    </w:tblStylePr>
    <w:tblStylePr w:type="band1Horz">
      <w:tblPr/>
      <w:tcPr>
        <w:shd w:val="clear" w:color="auto" w:fill="FFF9F9" w:themeFill="accent4" w:themeFillTint="3F"/>
      </w:tcPr>
    </w:tblStylePr>
  </w:style>
  <w:style w:type="table" w:styleId="MediumList1-Accent5">
    <w:name w:val="Medium List 1 Accent 5"/>
    <w:basedOn w:val="TableNormal"/>
    <w:uiPriority w:val="65"/>
    <w:pPr>
      <w:spacing w:after="0"/>
    </w:pPr>
    <w:rPr>
      <w:color w:val="FFFFFF" w:themeColor="text1"/>
    </w:rPr>
    <w:tblPr>
      <w:tblStyleRowBandSize w:val="1"/>
      <w:tblStyleColBandSize w:val="1"/>
      <w:tblBorders>
        <w:top w:val="single" w:sz="8" w:space="0" w:color="FEDADD" w:themeColor="accent5"/>
        <w:bottom w:val="single" w:sz="8" w:space="0" w:color="FEDADD" w:themeColor="accent5"/>
      </w:tblBorders>
    </w:tblPr>
    <w:tblStylePr w:type="firstRow">
      <w:rPr>
        <w:rFonts w:asciiTheme="majorHAnsi" w:eastAsiaTheme="majorEastAsia" w:hAnsiTheme="majorHAnsi" w:cstheme="majorBidi"/>
      </w:rPr>
      <w:tblPr/>
      <w:tcPr>
        <w:tcBorders>
          <w:top w:val="nil"/>
          <w:bottom w:val="single" w:sz="8" w:space="0" w:color="FEDADD" w:themeColor="accent5"/>
        </w:tcBorders>
      </w:tcPr>
    </w:tblStylePr>
    <w:tblStylePr w:type="lastRow">
      <w:rPr>
        <w:b/>
        <w:bCs/>
        <w:color w:val="FFFFFF" w:themeColor="text2"/>
      </w:rPr>
      <w:tblPr/>
      <w:tcPr>
        <w:tcBorders>
          <w:top w:val="single" w:sz="8" w:space="0" w:color="FEDADD" w:themeColor="accent5"/>
          <w:bottom w:val="single" w:sz="8" w:space="0" w:color="FEDADD" w:themeColor="accent5"/>
        </w:tcBorders>
      </w:tcPr>
    </w:tblStylePr>
    <w:tblStylePr w:type="firstCol">
      <w:rPr>
        <w:b/>
        <w:bCs/>
      </w:rPr>
    </w:tblStylePr>
    <w:tblStylePr w:type="lastCol">
      <w:rPr>
        <w:b/>
        <w:bCs/>
      </w:rPr>
      <w:tblPr/>
      <w:tcPr>
        <w:tcBorders>
          <w:top w:val="single" w:sz="8" w:space="0" w:color="FEDADD" w:themeColor="accent5"/>
          <w:bottom w:val="single" w:sz="8" w:space="0" w:color="FEDADD" w:themeColor="accent5"/>
        </w:tcBorders>
      </w:tcPr>
    </w:tblStylePr>
    <w:tblStylePr w:type="band1Vert">
      <w:tblPr/>
      <w:tcPr>
        <w:shd w:val="clear" w:color="auto" w:fill="FEF5F6" w:themeFill="accent5" w:themeFillTint="3F"/>
      </w:tcPr>
    </w:tblStylePr>
    <w:tblStylePr w:type="band1Horz">
      <w:tblPr/>
      <w:tcPr>
        <w:shd w:val="clear" w:color="auto" w:fill="FEF5F6" w:themeFill="accent5" w:themeFillTint="3F"/>
      </w:tcPr>
    </w:tblStylePr>
  </w:style>
  <w:style w:type="table" w:styleId="MediumList1-Accent6">
    <w:name w:val="Medium List 1 Accent 6"/>
    <w:basedOn w:val="TableNormal"/>
    <w:uiPriority w:val="65"/>
    <w:pPr>
      <w:spacing w:after="0"/>
    </w:pPr>
    <w:rPr>
      <w:color w:val="FFFFFF" w:themeColor="text1"/>
    </w:rPr>
    <w:tblPr>
      <w:tblStyleRowBandSize w:val="1"/>
      <w:tblStyleColBandSize w:val="1"/>
      <w:tblBorders>
        <w:top w:val="single" w:sz="8" w:space="0" w:color="700015" w:themeColor="accent6"/>
        <w:bottom w:val="single" w:sz="8" w:space="0" w:color="700015" w:themeColor="accent6"/>
      </w:tblBorders>
    </w:tblPr>
    <w:tblStylePr w:type="firstRow">
      <w:rPr>
        <w:rFonts w:asciiTheme="majorHAnsi" w:eastAsiaTheme="majorEastAsia" w:hAnsiTheme="majorHAnsi" w:cstheme="majorBidi"/>
      </w:rPr>
      <w:tblPr/>
      <w:tcPr>
        <w:tcBorders>
          <w:top w:val="nil"/>
          <w:bottom w:val="single" w:sz="8" w:space="0" w:color="700015" w:themeColor="accent6"/>
        </w:tcBorders>
      </w:tcPr>
    </w:tblStylePr>
    <w:tblStylePr w:type="lastRow">
      <w:rPr>
        <w:b/>
        <w:bCs/>
        <w:color w:val="FFFFFF" w:themeColor="text2"/>
      </w:rPr>
      <w:tblPr/>
      <w:tcPr>
        <w:tcBorders>
          <w:top w:val="single" w:sz="8" w:space="0" w:color="700015" w:themeColor="accent6"/>
          <w:bottom w:val="single" w:sz="8" w:space="0" w:color="700015" w:themeColor="accent6"/>
        </w:tcBorders>
      </w:tcPr>
    </w:tblStylePr>
    <w:tblStylePr w:type="firstCol">
      <w:rPr>
        <w:b/>
        <w:bCs/>
      </w:rPr>
    </w:tblStylePr>
    <w:tblStylePr w:type="lastCol">
      <w:rPr>
        <w:b/>
        <w:bCs/>
      </w:rPr>
      <w:tblPr/>
      <w:tcPr>
        <w:tcBorders>
          <w:top w:val="single" w:sz="8" w:space="0" w:color="700015" w:themeColor="accent6"/>
          <w:bottom w:val="single" w:sz="8" w:space="0" w:color="700015" w:themeColor="accent6"/>
        </w:tcBorders>
      </w:tcPr>
    </w:tblStylePr>
    <w:tblStylePr w:type="band1Vert">
      <w:tblPr/>
      <w:tcPr>
        <w:shd w:val="clear" w:color="auto" w:fill="FF9CAE" w:themeFill="accent6" w:themeFillTint="3F"/>
      </w:tcPr>
    </w:tblStylePr>
    <w:tblStylePr w:type="band1Horz">
      <w:tblPr/>
      <w:tcPr>
        <w:shd w:val="clear" w:color="auto" w:fill="FF9CAE" w:themeFill="accent6" w:themeFillTint="3F"/>
      </w:tcPr>
    </w:tblStylePr>
  </w:style>
  <w:style w:type="table" w:styleId="MediumList2">
    <w:name w:val="Medium List 2"/>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FFFF" w:themeColor="text1"/>
        <w:left w:val="single" w:sz="8" w:space="0" w:color="FFFFFF" w:themeColor="text1"/>
        <w:bottom w:val="single" w:sz="8" w:space="0" w:color="FFFFFF" w:themeColor="text1"/>
        <w:right w:val="single" w:sz="8" w:space="0" w:color="FFFFFF" w:themeColor="text1"/>
      </w:tblBorders>
    </w:tblPr>
    <w:tblStylePr w:type="firstRow">
      <w:rPr>
        <w:sz w:val="24"/>
        <w:szCs w:val="24"/>
      </w:rPr>
      <w:tblPr/>
      <w:tcPr>
        <w:tcBorders>
          <w:top w:val="nil"/>
          <w:left w:val="nil"/>
          <w:bottom w:val="single" w:sz="24" w:space="0" w:color="FFFFFF" w:themeColor="text1"/>
          <w:right w:val="nil"/>
          <w:insideH w:val="nil"/>
          <w:insideV w:val="nil"/>
        </w:tcBorders>
        <w:shd w:val="clear" w:color="auto" w:fill="FFFFFF" w:themeFill="background1"/>
      </w:tcPr>
    </w:tblStylePr>
    <w:tblStylePr w:type="lastRow">
      <w:tblPr/>
      <w:tcPr>
        <w:tcBorders>
          <w:top w:val="single" w:sz="8" w:space="0" w:color="FFFFFF"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FFFF" w:themeColor="text1"/>
          <w:insideH w:val="nil"/>
          <w:insideV w:val="nil"/>
        </w:tcBorders>
        <w:shd w:val="clear" w:color="auto" w:fill="FFFFFF" w:themeFill="background1"/>
      </w:tcPr>
    </w:tblStylePr>
    <w:tblStylePr w:type="lastCol">
      <w:tblPr/>
      <w:tcPr>
        <w:tcBorders>
          <w:top w:val="nil"/>
          <w:left w:val="single" w:sz="8" w:space="0" w:color="FFFFFF"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FFF" w:themeFill="text1" w:themeFillTint="3F"/>
      </w:tcPr>
    </w:tblStylePr>
    <w:tblStylePr w:type="band1Horz">
      <w:tblPr/>
      <w:tcPr>
        <w:tcBorders>
          <w:top w:val="nil"/>
          <w:bottom w:val="nil"/>
          <w:insideH w:val="nil"/>
          <w:insideV w:val="nil"/>
        </w:tcBorders>
        <w:shd w:val="clear" w:color="auto" w:fill="FFFFFF"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000000" w:themeColor="accent1"/>
        <w:left w:val="single" w:sz="8" w:space="0" w:color="000000" w:themeColor="accent1"/>
        <w:bottom w:val="single" w:sz="8" w:space="0" w:color="000000" w:themeColor="accent1"/>
        <w:right w:val="single" w:sz="8" w:space="0" w:color="000000" w:themeColor="accent1"/>
      </w:tblBorders>
    </w:tblPr>
    <w:tblStylePr w:type="firstRow">
      <w:rPr>
        <w:sz w:val="24"/>
        <w:szCs w:val="24"/>
      </w:rPr>
      <w:tblPr/>
      <w:tcPr>
        <w:tcBorders>
          <w:top w:val="nil"/>
          <w:left w:val="nil"/>
          <w:bottom w:val="single" w:sz="24" w:space="0" w:color="000000" w:themeColor="accent1"/>
          <w:right w:val="nil"/>
          <w:insideH w:val="nil"/>
          <w:insideV w:val="nil"/>
        </w:tcBorders>
        <w:shd w:val="clear" w:color="auto" w:fill="FFFFFF" w:themeFill="background1"/>
      </w:tcPr>
    </w:tblStylePr>
    <w:tblStylePr w:type="lastRow">
      <w:tblPr/>
      <w:tcPr>
        <w:tcBorders>
          <w:top w:val="single" w:sz="8" w:space="0" w:color="0000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accent1"/>
          <w:insideH w:val="nil"/>
          <w:insideV w:val="nil"/>
        </w:tcBorders>
        <w:shd w:val="clear" w:color="auto" w:fill="FFFFFF" w:themeFill="background1"/>
      </w:tcPr>
    </w:tblStylePr>
    <w:tblStylePr w:type="lastCol">
      <w:tblPr/>
      <w:tcPr>
        <w:tcBorders>
          <w:top w:val="nil"/>
          <w:left w:val="single" w:sz="8" w:space="0" w:color="0000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accent1" w:themeFillTint="3F"/>
      </w:tcPr>
    </w:tblStylePr>
    <w:tblStylePr w:type="band1Horz">
      <w:tblPr/>
      <w:tcPr>
        <w:tcBorders>
          <w:top w:val="nil"/>
          <w:bottom w:val="nil"/>
          <w:insideH w:val="nil"/>
          <w:insideV w:val="nil"/>
        </w:tcBorders>
        <w:shd w:val="clear" w:color="auto" w:fill="C0C0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A50021" w:themeColor="accent2"/>
        <w:left w:val="single" w:sz="8" w:space="0" w:color="A50021" w:themeColor="accent2"/>
        <w:bottom w:val="single" w:sz="8" w:space="0" w:color="A50021" w:themeColor="accent2"/>
        <w:right w:val="single" w:sz="8" w:space="0" w:color="A50021" w:themeColor="accent2"/>
      </w:tblBorders>
    </w:tblPr>
    <w:tblStylePr w:type="firstRow">
      <w:rPr>
        <w:sz w:val="24"/>
        <w:szCs w:val="24"/>
      </w:rPr>
      <w:tblPr/>
      <w:tcPr>
        <w:tcBorders>
          <w:top w:val="nil"/>
          <w:left w:val="nil"/>
          <w:bottom w:val="single" w:sz="24" w:space="0" w:color="A50021" w:themeColor="accent2"/>
          <w:right w:val="nil"/>
          <w:insideH w:val="nil"/>
          <w:insideV w:val="nil"/>
        </w:tcBorders>
        <w:shd w:val="clear" w:color="auto" w:fill="FFFFFF" w:themeFill="background1"/>
      </w:tcPr>
    </w:tblStylePr>
    <w:tblStylePr w:type="lastRow">
      <w:tblPr/>
      <w:tcPr>
        <w:tcBorders>
          <w:top w:val="single" w:sz="8" w:space="0" w:color="A5002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0021" w:themeColor="accent2"/>
          <w:insideH w:val="nil"/>
          <w:insideV w:val="nil"/>
        </w:tcBorders>
        <w:shd w:val="clear" w:color="auto" w:fill="FFFFFF" w:themeFill="background1"/>
      </w:tcPr>
    </w:tblStylePr>
    <w:tblStylePr w:type="lastCol">
      <w:tblPr/>
      <w:tcPr>
        <w:tcBorders>
          <w:top w:val="nil"/>
          <w:left w:val="single" w:sz="8" w:space="0" w:color="A5002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A9BA" w:themeFill="accent2" w:themeFillTint="3F"/>
      </w:tcPr>
    </w:tblStylePr>
    <w:tblStylePr w:type="band1Horz">
      <w:tblPr/>
      <w:tcPr>
        <w:tcBorders>
          <w:top w:val="nil"/>
          <w:bottom w:val="nil"/>
          <w:insideH w:val="nil"/>
          <w:insideV w:val="nil"/>
        </w:tcBorders>
        <w:shd w:val="clear" w:color="auto" w:fill="FFA9BA"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DB5BA" w:themeColor="accent3"/>
        <w:left w:val="single" w:sz="8" w:space="0" w:color="FDB5BA" w:themeColor="accent3"/>
        <w:bottom w:val="single" w:sz="8" w:space="0" w:color="FDB5BA" w:themeColor="accent3"/>
        <w:right w:val="single" w:sz="8" w:space="0" w:color="FDB5BA" w:themeColor="accent3"/>
      </w:tblBorders>
    </w:tblPr>
    <w:tblStylePr w:type="firstRow">
      <w:rPr>
        <w:sz w:val="24"/>
        <w:szCs w:val="24"/>
      </w:rPr>
      <w:tblPr/>
      <w:tcPr>
        <w:tcBorders>
          <w:top w:val="nil"/>
          <w:left w:val="nil"/>
          <w:bottom w:val="single" w:sz="24" w:space="0" w:color="FDB5BA" w:themeColor="accent3"/>
          <w:right w:val="nil"/>
          <w:insideH w:val="nil"/>
          <w:insideV w:val="nil"/>
        </w:tcBorders>
        <w:shd w:val="clear" w:color="auto" w:fill="FFFFFF" w:themeFill="background1"/>
      </w:tcPr>
    </w:tblStylePr>
    <w:tblStylePr w:type="lastRow">
      <w:tblPr/>
      <w:tcPr>
        <w:tcBorders>
          <w:top w:val="single" w:sz="8" w:space="0" w:color="FDB5BA"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DB5BA" w:themeColor="accent3"/>
          <w:insideH w:val="nil"/>
          <w:insideV w:val="nil"/>
        </w:tcBorders>
        <w:shd w:val="clear" w:color="auto" w:fill="FFFFFF" w:themeFill="background1"/>
      </w:tcPr>
    </w:tblStylePr>
    <w:tblStylePr w:type="lastCol">
      <w:tblPr/>
      <w:tcPr>
        <w:tcBorders>
          <w:top w:val="nil"/>
          <w:left w:val="single" w:sz="8" w:space="0" w:color="FDB5BA"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ECED" w:themeFill="accent3" w:themeFillTint="3F"/>
      </w:tcPr>
    </w:tblStylePr>
    <w:tblStylePr w:type="band1Horz">
      <w:tblPr/>
      <w:tcPr>
        <w:tcBorders>
          <w:top w:val="nil"/>
          <w:bottom w:val="nil"/>
          <w:insideH w:val="nil"/>
          <w:insideV w:val="nil"/>
        </w:tcBorders>
        <w:shd w:val="clear" w:color="auto" w:fill="FEECED"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FE7E7" w:themeColor="accent4"/>
        <w:left w:val="single" w:sz="8" w:space="0" w:color="FFE7E7" w:themeColor="accent4"/>
        <w:bottom w:val="single" w:sz="8" w:space="0" w:color="FFE7E7" w:themeColor="accent4"/>
        <w:right w:val="single" w:sz="8" w:space="0" w:color="FFE7E7" w:themeColor="accent4"/>
      </w:tblBorders>
    </w:tblPr>
    <w:tblStylePr w:type="firstRow">
      <w:rPr>
        <w:sz w:val="24"/>
        <w:szCs w:val="24"/>
      </w:rPr>
      <w:tblPr/>
      <w:tcPr>
        <w:tcBorders>
          <w:top w:val="nil"/>
          <w:left w:val="nil"/>
          <w:bottom w:val="single" w:sz="24" w:space="0" w:color="FFE7E7" w:themeColor="accent4"/>
          <w:right w:val="nil"/>
          <w:insideH w:val="nil"/>
          <w:insideV w:val="nil"/>
        </w:tcBorders>
        <w:shd w:val="clear" w:color="auto" w:fill="FFFFFF" w:themeFill="background1"/>
      </w:tcPr>
    </w:tblStylePr>
    <w:tblStylePr w:type="lastRow">
      <w:tblPr/>
      <w:tcPr>
        <w:tcBorders>
          <w:top w:val="single" w:sz="8" w:space="0" w:color="FFE7E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E7E7" w:themeColor="accent4"/>
          <w:insideH w:val="nil"/>
          <w:insideV w:val="nil"/>
        </w:tcBorders>
        <w:shd w:val="clear" w:color="auto" w:fill="FFFFFF" w:themeFill="background1"/>
      </w:tcPr>
    </w:tblStylePr>
    <w:tblStylePr w:type="lastCol">
      <w:tblPr/>
      <w:tcPr>
        <w:tcBorders>
          <w:top w:val="nil"/>
          <w:left w:val="single" w:sz="8" w:space="0" w:color="FFE7E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9F9" w:themeFill="accent4" w:themeFillTint="3F"/>
      </w:tcPr>
    </w:tblStylePr>
    <w:tblStylePr w:type="band1Horz">
      <w:tblPr/>
      <w:tcPr>
        <w:tcBorders>
          <w:top w:val="nil"/>
          <w:bottom w:val="nil"/>
          <w:insideH w:val="nil"/>
          <w:insideV w:val="nil"/>
        </w:tcBorders>
        <w:shd w:val="clear" w:color="auto" w:fill="FFF9F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FEDADD" w:themeColor="accent5"/>
        <w:left w:val="single" w:sz="8" w:space="0" w:color="FEDADD" w:themeColor="accent5"/>
        <w:bottom w:val="single" w:sz="8" w:space="0" w:color="FEDADD" w:themeColor="accent5"/>
        <w:right w:val="single" w:sz="8" w:space="0" w:color="FEDADD" w:themeColor="accent5"/>
      </w:tblBorders>
    </w:tblPr>
    <w:tblStylePr w:type="firstRow">
      <w:rPr>
        <w:sz w:val="24"/>
        <w:szCs w:val="24"/>
      </w:rPr>
      <w:tblPr/>
      <w:tcPr>
        <w:tcBorders>
          <w:top w:val="nil"/>
          <w:left w:val="nil"/>
          <w:bottom w:val="single" w:sz="24" w:space="0" w:color="FEDADD" w:themeColor="accent5"/>
          <w:right w:val="nil"/>
          <w:insideH w:val="nil"/>
          <w:insideV w:val="nil"/>
        </w:tcBorders>
        <w:shd w:val="clear" w:color="auto" w:fill="FFFFFF" w:themeFill="background1"/>
      </w:tcPr>
    </w:tblStylePr>
    <w:tblStylePr w:type="lastRow">
      <w:tblPr/>
      <w:tcPr>
        <w:tcBorders>
          <w:top w:val="single" w:sz="8" w:space="0" w:color="FEDADD"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EDADD" w:themeColor="accent5"/>
          <w:insideH w:val="nil"/>
          <w:insideV w:val="nil"/>
        </w:tcBorders>
        <w:shd w:val="clear" w:color="auto" w:fill="FFFFFF" w:themeFill="background1"/>
      </w:tcPr>
    </w:tblStylePr>
    <w:tblStylePr w:type="lastCol">
      <w:tblPr/>
      <w:tcPr>
        <w:tcBorders>
          <w:top w:val="nil"/>
          <w:left w:val="single" w:sz="8" w:space="0" w:color="FEDADD"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EF5F6" w:themeFill="accent5" w:themeFillTint="3F"/>
      </w:tcPr>
    </w:tblStylePr>
    <w:tblStylePr w:type="band1Horz">
      <w:tblPr/>
      <w:tcPr>
        <w:tcBorders>
          <w:top w:val="nil"/>
          <w:bottom w:val="nil"/>
          <w:insideH w:val="nil"/>
          <w:insideV w:val="nil"/>
        </w:tcBorders>
        <w:shd w:val="clear" w:color="auto" w:fill="FEF5F6"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pPr>
      <w:spacing w:after="0"/>
    </w:pPr>
    <w:rPr>
      <w:rFonts w:asciiTheme="majorHAnsi" w:eastAsiaTheme="majorEastAsia" w:hAnsiTheme="majorHAnsi" w:cstheme="majorBidi"/>
      <w:color w:val="FFFFFF" w:themeColor="text1"/>
    </w:rPr>
    <w:tblPr>
      <w:tblStyleRowBandSize w:val="1"/>
      <w:tblStyleColBandSize w:val="1"/>
      <w:tblBorders>
        <w:top w:val="single" w:sz="8" w:space="0" w:color="700015" w:themeColor="accent6"/>
        <w:left w:val="single" w:sz="8" w:space="0" w:color="700015" w:themeColor="accent6"/>
        <w:bottom w:val="single" w:sz="8" w:space="0" w:color="700015" w:themeColor="accent6"/>
        <w:right w:val="single" w:sz="8" w:space="0" w:color="700015" w:themeColor="accent6"/>
      </w:tblBorders>
    </w:tblPr>
    <w:tblStylePr w:type="firstRow">
      <w:rPr>
        <w:sz w:val="24"/>
        <w:szCs w:val="24"/>
      </w:rPr>
      <w:tblPr/>
      <w:tcPr>
        <w:tcBorders>
          <w:top w:val="nil"/>
          <w:left w:val="nil"/>
          <w:bottom w:val="single" w:sz="24" w:space="0" w:color="700015" w:themeColor="accent6"/>
          <w:right w:val="nil"/>
          <w:insideH w:val="nil"/>
          <w:insideV w:val="nil"/>
        </w:tcBorders>
        <w:shd w:val="clear" w:color="auto" w:fill="FFFFFF" w:themeFill="background1"/>
      </w:tcPr>
    </w:tblStylePr>
    <w:tblStylePr w:type="lastRow">
      <w:tblPr/>
      <w:tcPr>
        <w:tcBorders>
          <w:top w:val="single" w:sz="8" w:space="0" w:color="700015"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0015" w:themeColor="accent6"/>
          <w:insideH w:val="nil"/>
          <w:insideV w:val="nil"/>
        </w:tcBorders>
        <w:shd w:val="clear" w:color="auto" w:fill="FFFFFF" w:themeFill="background1"/>
      </w:tcPr>
    </w:tblStylePr>
    <w:tblStylePr w:type="lastCol">
      <w:tblPr/>
      <w:tcPr>
        <w:tcBorders>
          <w:top w:val="nil"/>
          <w:left w:val="single" w:sz="8" w:space="0" w:color="700015"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AE" w:themeFill="accent6" w:themeFillTint="3F"/>
      </w:tcPr>
    </w:tblStylePr>
    <w:tblStylePr w:type="band1Horz">
      <w:tblPr/>
      <w:tcPr>
        <w:tcBorders>
          <w:top w:val="nil"/>
          <w:bottom w:val="nil"/>
          <w:insideH w:val="nil"/>
          <w:insideV w:val="nil"/>
        </w:tcBorders>
        <w:shd w:val="clear" w:color="auto" w:fill="FF9CA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pPr>
      <w:spacing w:after="0"/>
    </w:pPr>
    <w:tblPr>
      <w:tblStyleRowBandSize w:val="1"/>
      <w:tblStyleColBandSize w:val="1"/>
      <w:tbl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single" w:sz="8" w:space="0" w:color="FFFFFF" w:themeColor="text1" w:themeTint="BF"/>
      </w:tblBorders>
    </w:tblPr>
    <w:tblStylePr w:type="firstRow">
      <w:pPr>
        <w:spacing w:before="0" w:after="0" w:line="240" w:lineRule="auto"/>
      </w:pPr>
      <w:rPr>
        <w:b/>
        <w:bCs/>
        <w:color w:val="FFFFFF" w:themeColor="background1"/>
      </w:rPr>
      <w:tblPr/>
      <w:tcPr>
        <w:tcBorders>
          <w:top w:val="single" w:sz="8"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nil"/>
          <w:insideV w:val="nil"/>
        </w:tcBorders>
        <w:shd w:val="clear" w:color="auto" w:fill="FFFFFF" w:themeFill="text1"/>
      </w:tcPr>
    </w:tblStylePr>
    <w:tblStylePr w:type="lastRow">
      <w:pPr>
        <w:spacing w:before="0" w:after="0" w:line="240" w:lineRule="auto"/>
      </w:pPr>
      <w:rPr>
        <w:b/>
        <w:bCs/>
      </w:rPr>
      <w:tblPr/>
      <w:tcPr>
        <w:tcBorders>
          <w:top w:val="double" w:sz="6" w:space="0" w:color="FFFFFF" w:themeColor="text1" w:themeTint="BF"/>
          <w:left w:val="single" w:sz="8" w:space="0" w:color="FFFFFF" w:themeColor="text1" w:themeTint="BF"/>
          <w:bottom w:val="single" w:sz="8" w:space="0" w:color="FFFFFF" w:themeColor="text1" w:themeTint="BF"/>
          <w:right w:val="single" w:sz="8" w:space="0" w:color="FFFFFF" w:themeColor="text1" w:themeTint="BF"/>
          <w:insideH w:val="nil"/>
          <w:insideV w:val="nil"/>
        </w:tcBorders>
      </w:tcPr>
    </w:tblStylePr>
    <w:tblStylePr w:type="firstCol">
      <w:rPr>
        <w:b/>
        <w:bCs/>
      </w:rPr>
    </w:tblStylePr>
    <w:tblStylePr w:type="lastCol">
      <w:rPr>
        <w:b/>
        <w:bCs/>
      </w:rPr>
    </w:tblStylePr>
    <w:tblStylePr w:type="band1Vert">
      <w:tblPr/>
      <w:tcPr>
        <w:shd w:val="clear" w:color="auto" w:fill="FFFFFF" w:themeFill="text1" w:themeFillTint="3F"/>
      </w:tcPr>
    </w:tblStylePr>
    <w:tblStylePr w:type="band1Horz">
      <w:tblPr/>
      <w:tcPr>
        <w:tcBorders>
          <w:insideH w:val="nil"/>
          <w:insideV w:val="nil"/>
        </w:tcBorders>
        <w:shd w:val="clear" w:color="auto" w:fill="FFFFFF"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pPr>
      <w:spacing w:after="0"/>
    </w:pPr>
    <w:tblPr>
      <w:tblStyleRowBandSize w:val="1"/>
      <w:tblStyleColBandSize w:val="1"/>
      <w:tbl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single" w:sz="8" w:space="0" w:color="404040" w:themeColor="accent1" w:themeTint="BF"/>
      </w:tblBorders>
    </w:tblPr>
    <w:tblStylePr w:type="firstRow">
      <w:pPr>
        <w:spacing w:before="0" w:after="0" w:line="240" w:lineRule="auto"/>
      </w:pPr>
      <w:rPr>
        <w:b/>
        <w:bCs/>
        <w:color w:val="FFFFFF" w:themeColor="background1"/>
      </w:rPr>
      <w:tblPr/>
      <w:tcPr>
        <w:tcBorders>
          <w:top w:val="single" w:sz="8"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nil"/>
          <w:insideV w:val="nil"/>
        </w:tcBorders>
        <w:shd w:val="clear" w:color="auto" w:fill="000000" w:themeFill="accent1"/>
      </w:tcPr>
    </w:tblStylePr>
    <w:tblStylePr w:type="lastRow">
      <w:pPr>
        <w:spacing w:before="0" w:after="0" w:line="240" w:lineRule="auto"/>
      </w:pPr>
      <w:rPr>
        <w:b/>
        <w:bCs/>
      </w:rPr>
      <w:tblPr/>
      <w:tcPr>
        <w:tcBorders>
          <w:top w:val="double" w:sz="6" w:space="0" w:color="404040" w:themeColor="accent1" w:themeTint="BF"/>
          <w:left w:val="single" w:sz="8" w:space="0" w:color="404040" w:themeColor="accent1" w:themeTint="BF"/>
          <w:bottom w:val="single" w:sz="8" w:space="0" w:color="404040" w:themeColor="accent1" w:themeTint="BF"/>
          <w:right w:val="single" w:sz="8" w:space="0" w:color="404040" w:themeColor="accent1" w:themeTint="BF"/>
          <w:insideH w:val="nil"/>
          <w:insideV w:val="nil"/>
        </w:tcBorders>
      </w:tcPr>
    </w:tblStylePr>
    <w:tblStylePr w:type="firstCol">
      <w:rPr>
        <w:b/>
        <w:bCs/>
      </w:rPr>
    </w:tblStylePr>
    <w:tblStylePr w:type="lastCol">
      <w:rPr>
        <w:b/>
        <w:bCs/>
      </w:rPr>
    </w:tblStylePr>
    <w:tblStylePr w:type="band1Vert">
      <w:tblPr/>
      <w:tcPr>
        <w:shd w:val="clear" w:color="auto" w:fill="C0C0C0" w:themeFill="accent1" w:themeFillTint="3F"/>
      </w:tcPr>
    </w:tblStylePr>
    <w:tblStylePr w:type="band1Horz">
      <w:tblPr/>
      <w:tcPr>
        <w:tcBorders>
          <w:insideH w:val="nil"/>
          <w:insideV w:val="nil"/>
        </w:tcBorders>
        <w:shd w:val="clear" w:color="auto" w:fill="C0C0C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pPr>
      <w:spacing w:after="0"/>
    </w:pPr>
    <w:tblPr>
      <w:tblStyleRowBandSize w:val="1"/>
      <w:tblStyleColBandSize w:val="1"/>
      <w:tblBorders>
        <w:top w:val="single" w:sz="8"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single" w:sz="8" w:space="0" w:color="FB0032" w:themeColor="accent2" w:themeTint="BF"/>
      </w:tblBorders>
    </w:tblPr>
    <w:tblStylePr w:type="firstRow">
      <w:pPr>
        <w:spacing w:before="0" w:after="0" w:line="240" w:lineRule="auto"/>
      </w:pPr>
      <w:rPr>
        <w:b/>
        <w:bCs/>
        <w:color w:val="FFFFFF" w:themeColor="background1"/>
      </w:rPr>
      <w:tblPr/>
      <w:tcPr>
        <w:tcBorders>
          <w:top w:val="single" w:sz="8"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nil"/>
          <w:insideV w:val="nil"/>
        </w:tcBorders>
        <w:shd w:val="clear" w:color="auto" w:fill="A50021" w:themeFill="accent2"/>
      </w:tcPr>
    </w:tblStylePr>
    <w:tblStylePr w:type="lastRow">
      <w:pPr>
        <w:spacing w:before="0" w:after="0" w:line="240" w:lineRule="auto"/>
      </w:pPr>
      <w:rPr>
        <w:b/>
        <w:bCs/>
      </w:rPr>
      <w:tblPr/>
      <w:tcPr>
        <w:tcBorders>
          <w:top w:val="double" w:sz="6" w:space="0" w:color="FB0032" w:themeColor="accent2" w:themeTint="BF"/>
          <w:left w:val="single" w:sz="8" w:space="0" w:color="FB0032" w:themeColor="accent2" w:themeTint="BF"/>
          <w:bottom w:val="single" w:sz="8" w:space="0" w:color="FB0032" w:themeColor="accent2" w:themeTint="BF"/>
          <w:right w:val="single" w:sz="8" w:space="0" w:color="FB0032"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A9BA" w:themeFill="accent2" w:themeFillTint="3F"/>
      </w:tcPr>
    </w:tblStylePr>
    <w:tblStylePr w:type="band1Horz">
      <w:tblPr/>
      <w:tcPr>
        <w:tcBorders>
          <w:insideH w:val="nil"/>
          <w:insideV w:val="nil"/>
        </w:tcBorders>
        <w:shd w:val="clear" w:color="auto" w:fill="FFA9BA"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pPr>
      <w:spacing w:after="0"/>
    </w:pPr>
    <w:tblPr>
      <w:tblStyleRowBandSize w:val="1"/>
      <w:tblStyleColBandSize w:val="1"/>
      <w:tblBorders>
        <w:top w:val="single" w:sz="8"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single" w:sz="8" w:space="0" w:color="FDC7CB" w:themeColor="accent3" w:themeTint="BF"/>
      </w:tblBorders>
    </w:tblPr>
    <w:tblStylePr w:type="firstRow">
      <w:pPr>
        <w:spacing w:before="0" w:after="0" w:line="240" w:lineRule="auto"/>
      </w:pPr>
      <w:rPr>
        <w:b/>
        <w:bCs/>
        <w:color w:val="FFFFFF" w:themeColor="background1"/>
      </w:rPr>
      <w:tblPr/>
      <w:tcPr>
        <w:tcBorders>
          <w:top w:val="single" w:sz="8"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nil"/>
          <w:insideV w:val="nil"/>
        </w:tcBorders>
        <w:shd w:val="clear" w:color="auto" w:fill="FDB5BA" w:themeFill="accent3"/>
      </w:tcPr>
    </w:tblStylePr>
    <w:tblStylePr w:type="lastRow">
      <w:pPr>
        <w:spacing w:before="0" w:after="0" w:line="240" w:lineRule="auto"/>
      </w:pPr>
      <w:rPr>
        <w:b/>
        <w:bCs/>
      </w:rPr>
      <w:tblPr/>
      <w:tcPr>
        <w:tcBorders>
          <w:top w:val="double" w:sz="6" w:space="0" w:color="FDC7CB" w:themeColor="accent3" w:themeTint="BF"/>
          <w:left w:val="single" w:sz="8" w:space="0" w:color="FDC7CB" w:themeColor="accent3" w:themeTint="BF"/>
          <w:bottom w:val="single" w:sz="8" w:space="0" w:color="FDC7CB" w:themeColor="accent3" w:themeTint="BF"/>
          <w:right w:val="single" w:sz="8" w:space="0" w:color="FDC7C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EECED" w:themeFill="accent3" w:themeFillTint="3F"/>
      </w:tcPr>
    </w:tblStylePr>
    <w:tblStylePr w:type="band1Horz">
      <w:tblPr/>
      <w:tcPr>
        <w:tcBorders>
          <w:insideH w:val="nil"/>
          <w:insideV w:val="nil"/>
        </w:tcBorders>
        <w:shd w:val="clear" w:color="auto" w:fill="FEECED"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pPr>
      <w:spacing w:after="0"/>
    </w:pPr>
    <w:tblPr>
      <w:tblStyleRowBandSize w:val="1"/>
      <w:tblStyleColBandSize w:val="1"/>
      <w:tbl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single" w:sz="8" w:space="0" w:color="FFEDED" w:themeColor="accent4" w:themeTint="BF"/>
      </w:tblBorders>
    </w:tblPr>
    <w:tblStylePr w:type="firstRow">
      <w:pPr>
        <w:spacing w:before="0" w:after="0" w:line="240" w:lineRule="auto"/>
      </w:pPr>
      <w:rPr>
        <w:b/>
        <w:bCs/>
        <w:color w:val="FFFFFF" w:themeColor="background1"/>
      </w:rPr>
      <w:tblPr/>
      <w:tcPr>
        <w:tcBorders>
          <w:top w:val="single" w:sz="8"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nil"/>
          <w:insideV w:val="nil"/>
        </w:tcBorders>
        <w:shd w:val="clear" w:color="auto" w:fill="FFE7E7" w:themeFill="accent4"/>
      </w:tcPr>
    </w:tblStylePr>
    <w:tblStylePr w:type="lastRow">
      <w:pPr>
        <w:spacing w:before="0" w:after="0" w:line="240" w:lineRule="auto"/>
      </w:pPr>
      <w:rPr>
        <w:b/>
        <w:bCs/>
      </w:rPr>
      <w:tblPr/>
      <w:tcPr>
        <w:tcBorders>
          <w:top w:val="double" w:sz="6" w:space="0" w:color="FFEDED" w:themeColor="accent4" w:themeTint="BF"/>
          <w:left w:val="single" w:sz="8" w:space="0" w:color="FFEDED" w:themeColor="accent4" w:themeTint="BF"/>
          <w:bottom w:val="single" w:sz="8" w:space="0" w:color="FFEDED" w:themeColor="accent4" w:themeTint="BF"/>
          <w:right w:val="single" w:sz="8" w:space="0" w:color="FFEDED"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F9F9" w:themeFill="accent4" w:themeFillTint="3F"/>
      </w:tcPr>
    </w:tblStylePr>
    <w:tblStylePr w:type="band1Horz">
      <w:tblPr/>
      <w:tcPr>
        <w:tcBorders>
          <w:insideH w:val="nil"/>
          <w:insideV w:val="nil"/>
        </w:tcBorders>
        <w:shd w:val="clear" w:color="auto" w:fill="FFF9F9"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pPr>
      <w:spacing w:after="0"/>
    </w:pPr>
    <w:tblPr>
      <w:tblStyleRowBandSize w:val="1"/>
      <w:tblStyleColBandSize w:val="1"/>
      <w:tbl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single" w:sz="8" w:space="0" w:color="FEE3E5" w:themeColor="accent5" w:themeTint="BF"/>
      </w:tblBorders>
    </w:tblPr>
    <w:tblStylePr w:type="firstRow">
      <w:pPr>
        <w:spacing w:before="0" w:after="0" w:line="240" w:lineRule="auto"/>
      </w:pPr>
      <w:rPr>
        <w:b/>
        <w:bCs/>
        <w:color w:val="FFFFFF" w:themeColor="background1"/>
      </w:rPr>
      <w:tblPr/>
      <w:tcPr>
        <w:tcBorders>
          <w:top w:val="single" w:sz="8"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nil"/>
          <w:insideV w:val="nil"/>
        </w:tcBorders>
        <w:shd w:val="clear" w:color="auto" w:fill="FEDADD" w:themeFill="accent5"/>
      </w:tcPr>
    </w:tblStylePr>
    <w:tblStylePr w:type="lastRow">
      <w:pPr>
        <w:spacing w:before="0" w:after="0" w:line="240" w:lineRule="auto"/>
      </w:pPr>
      <w:rPr>
        <w:b/>
        <w:bCs/>
      </w:rPr>
      <w:tblPr/>
      <w:tcPr>
        <w:tcBorders>
          <w:top w:val="double" w:sz="6" w:space="0" w:color="FEE3E5" w:themeColor="accent5" w:themeTint="BF"/>
          <w:left w:val="single" w:sz="8" w:space="0" w:color="FEE3E5" w:themeColor="accent5" w:themeTint="BF"/>
          <w:bottom w:val="single" w:sz="8" w:space="0" w:color="FEE3E5" w:themeColor="accent5" w:themeTint="BF"/>
          <w:right w:val="single" w:sz="8" w:space="0" w:color="FEE3E5" w:themeColor="accent5" w:themeTint="BF"/>
          <w:insideH w:val="nil"/>
          <w:insideV w:val="nil"/>
        </w:tcBorders>
      </w:tcPr>
    </w:tblStylePr>
    <w:tblStylePr w:type="firstCol">
      <w:rPr>
        <w:b/>
        <w:bCs/>
      </w:rPr>
    </w:tblStylePr>
    <w:tblStylePr w:type="lastCol">
      <w:rPr>
        <w:b/>
        <w:bCs/>
      </w:rPr>
    </w:tblStylePr>
    <w:tblStylePr w:type="band1Vert">
      <w:tblPr/>
      <w:tcPr>
        <w:shd w:val="clear" w:color="auto" w:fill="FEF5F6" w:themeFill="accent5" w:themeFillTint="3F"/>
      </w:tcPr>
    </w:tblStylePr>
    <w:tblStylePr w:type="band1Horz">
      <w:tblPr/>
      <w:tcPr>
        <w:tcBorders>
          <w:insideH w:val="nil"/>
          <w:insideV w:val="nil"/>
        </w:tcBorders>
        <w:shd w:val="clear" w:color="auto" w:fill="FEF5F6"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pPr>
      <w:spacing w:after="0"/>
    </w:pPr>
    <w:tblPr>
      <w:tblStyleRowBandSize w:val="1"/>
      <w:tblStyleColBandSize w:val="1"/>
      <w:tbl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single" w:sz="8" w:space="0" w:color="D30027" w:themeColor="accent6" w:themeTint="BF"/>
      </w:tblBorders>
    </w:tblPr>
    <w:tblStylePr w:type="firstRow">
      <w:pPr>
        <w:spacing w:before="0" w:after="0" w:line="240" w:lineRule="auto"/>
      </w:pPr>
      <w:rPr>
        <w:b/>
        <w:bCs/>
        <w:color w:val="FFFFFF" w:themeColor="background1"/>
      </w:rPr>
      <w:tblPr/>
      <w:tcPr>
        <w:tcBorders>
          <w:top w:val="single" w:sz="8"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nil"/>
          <w:insideV w:val="nil"/>
        </w:tcBorders>
        <w:shd w:val="clear" w:color="auto" w:fill="700015" w:themeFill="accent6"/>
      </w:tcPr>
    </w:tblStylePr>
    <w:tblStylePr w:type="lastRow">
      <w:pPr>
        <w:spacing w:before="0" w:after="0" w:line="240" w:lineRule="auto"/>
      </w:pPr>
      <w:rPr>
        <w:b/>
        <w:bCs/>
      </w:rPr>
      <w:tblPr/>
      <w:tcPr>
        <w:tcBorders>
          <w:top w:val="double" w:sz="6" w:space="0" w:color="D30027" w:themeColor="accent6" w:themeTint="BF"/>
          <w:left w:val="single" w:sz="8" w:space="0" w:color="D30027" w:themeColor="accent6" w:themeTint="BF"/>
          <w:bottom w:val="single" w:sz="8" w:space="0" w:color="D30027" w:themeColor="accent6" w:themeTint="BF"/>
          <w:right w:val="single" w:sz="8" w:space="0" w:color="D30027"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9CAE" w:themeFill="accent6" w:themeFillTint="3F"/>
      </w:tcPr>
    </w:tblStylePr>
    <w:tblStylePr w:type="band1Horz">
      <w:tblPr/>
      <w:tcPr>
        <w:tcBorders>
          <w:insideH w:val="nil"/>
          <w:insideV w:val="nil"/>
        </w:tcBorders>
        <w:shd w:val="clear" w:color="auto" w:fill="FF9CAE"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FFFF"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FFFF" w:themeFill="text1"/>
      </w:tcPr>
    </w:tblStylePr>
    <w:tblStylePr w:type="lastCol">
      <w:rPr>
        <w:b/>
        <w:bCs/>
        <w:color w:val="FFFFFF" w:themeColor="background1"/>
      </w:rPr>
      <w:tblPr/>
      <w:tcPr>
        <w:tcBorders>
          <w:left w:val="nil"/>
          <w:right w:val="nil"/>
          <w:insideH w:val="nil"/>
          <w:insideV w:val="nil"/>
        </w:tcBorders>
        <w:shd w:val="clear" w:color="auto" w:fill="FFFFFF"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accent1"/>
      </w:tcPr>
    </w:tblStylePr>
    <w:tblStylePr w:type="lastCol">
      <w:rPr>
        <w:b/>
        <w:bCs/>
        <w:color w:val="FFFFFF" w:themeColor="background1"/>
      </w:rPr>
      <w:tblPr/>
      <w:tcPr>
        <w:tcBorders>
          <w:left w:val="nil"/>
          <w:right w:val="nil"/>
          <w:insideH w:val="nil"/>
          <w:insideV w:val="nil"/>
        </w:tcBorders>
        <w:shd w:val="clear" w:color="auto" w:fill="0000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002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0021" w:themeFill="accent2"/>
      </w:tcPr>
    </w:tblStylePr>
    <w:tblStylePr w:type="lastCol">
      <w:rPr>
        <w:b/>
        <w:bCs/>
        <w:color w:val="FFFFFF" w:themeColor="background1"/>
      </w:rPr>
      <w:tblPr/>
      <w:tcPr>
        <w:tcBorders>
          <w:left w:val="nil"/>
          <w:right w:val="nil"/>
          <w:insideH w:val="nil"/>
          <w:insideV w:val="nil"/>
        </w:tcBorders>
        <w:shd w:val="clear" w:color="auto" w:fill="A5002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DB5BA"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DB5BA" w:themeFill="accent3"/>
      </w:tcPr>
    </w:tblStylePr>
    <w:tblStylePr w:type="lastCol">
      <w:rPr>
        <w:b/>
        <w:bCs/>
        <w:color w:val="FFFFFF" w:themeColor="background1"/>
      </w:rPr>
      <w:tblPr/>
      <w:tcPr>
        <w:tcBorders>
          <w:left w:val="nil"/>
          <w:right w:val="nil"/>
          <w:insideH w:val="nil"/>
          <w:insideV w:val="nil"/>
        </w:tcBorders>
        <w:shd w:val="clear" w:color="auto" w:fill="FDB5BA"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E7E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E7E7" w:themeFill="accent4"/>
      </w:tcPr>
    </w:tblStylePr>
    <w:tblStylePr w:type="lastCol">
      <w:rPr>
        <w:b/>
        <w:bCs/>
        <w:color w:val="FFFFFF" w:themeColor="background1"/>
      </w:rPr>
      <w:tblPr/>
      <w:tcPr>
        <w:tcBorders>
          <w:left w:val="nil"/>
          <w:right w:val="nil"/>
          <w:insideH w:val="nil"/>
          <w:insideV w:val="nil"/>
        </w:tcBorders>
        <w:shd w:val="clear" w:color="auto" w:fill="FFE7E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EDADD"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EDADD" w:themeFill="accent5"/>
      </w:tcPr>
    </w:tblStylePr>
    <w:tblStylePr w:type="lastCol">
      <w:rPr>
        <w:b/>
        <w:bCs/>
        <w:color w:val="FFFFFF" w:themeColor="background1"/>
      </w:rPr>
      <w:tblPr/>
      <w:tcPr>
        <w:tcBorders>
          <w:left w:val="nil"/>
          <w:right w:val="nil"/>
          <w:insideH w:val="nil"/>
          <w:insideV w:val="nil"/>
        </w:tcBorders>
        <w:shd w:val="clear" w:color="auto" w:fill="FEDADD"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0015"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0015" w:themeFill="accent6"/>
      </w:tcPr>
    </w:tblStylePr>
    <w:tblStylePr w:type="lastCol">
      <w:rPr>
        <w:b/>
        <w:bCs/>
        <w:color w:val="FFFFFF" w:themeColor="background1"/>
      </w:rPr>
      <w:tblPr/>
      <w:tcPr>
        <w:tcBorders>
          <w:left w:val="nil"/>
          <w:right w:val="nil"/>
          <w:insideH w:val="nil"/>
          <w:insideV w:val="nil"/>
        </w:tcBorders>
        <w:shd w:val="clear" w:color="auto" w:fill="700015"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Pr>
      <w:rFonts w:asciiTheme="majorHAnsi" w:eastAsiaTheme="majorEastAsia" w:hAnsiTheme="majorHAnsi" w:cstheme="majorBidi"/>
      <w:sz w:val="24"/>
      <w:shd w:val="pct20" w:color="auto" w:fill="auto"/>
    </w:rPr>
  </w:style>
  <w:style w:type="paragraph" w:styleId="NormalWeb">
    <w:name w:val="Normal (Web)"/>
    <w:basedOn w:val="Normal"/>
    <w:uiPriority w:val="99"/>
    <w:unhideWhenUsed/>
    <w:rPr>
      <w:rFonts w:cs="Times New Roman"/>
      <w:sz w:val="24"/>
    </w:rPr>
  </w:style>
  <w:style w:type="paragraph" w:styleId="NormalIndent">
    <w:name w:val="Normal Indent"/>
    <w:basedOn w:val="Normal"/>
    <w:uiPriority w:val="99"/>
    <w:semiHidden/>
    <w:unhideWhenUsed/>
    <w:pPr>
      <w:ind w:left="720"/>
    </w:pPr>
  </w:style>
  <w:style w:type="paragraph" w:styleId="NoteHeading">
    <w:name w:val="Note Heading"/>
    <w:basedOn w:val="Normal"/>
    <w:next w:val="Normal"/>
    <w:link w:val="NoteHeadingChar"/>
    <w:uiPriority w:val="99"/>
    <w:semiHidden/>
    <w:unhideWhenUsed/>
    <w:pPr>
      <w:spacing w:after="0"/>
    </w:pPr>
  </w:style>
  <w:style w:type="character" w:customStyle="1" w:styleId="NoteHeadingChar">
    <w:name w:val="Note Heading Char"/>
    <w:basedOn w:val="DefaultParagraphFont"/>
    <w:link w:val="NoteHeading"/>
    <w:uiPriority w:val="99"/>
    <w:semiHidden/>
  </w:style>
  <w:style w:type="character" w:styleId="PageNumber">
    <w:name w:val="page number"/>
    <w:basedOn w:val="DefaultParagraphFont"/>
    <w:uiPriority w:val="99"/>
    <w:semiHidden/>
    <w:unhideWhenUsed/>
  </w:style>
  <w:style w:type="paragraph" w:styleId="PlainText">
    <w:name w:val="Plain Text"/>
    <w:basedOn w:val="Normal"/>
    <w:link w:val="PlainTextChar"/>
    <w:uiPriority w:val="99"/>
    <w:semiHidden/>
    <w:unhideWhenUsed/>
    <w:pPr>
      <w:spacing w:after="0"/>
    </w:pPr>
    <w:rPr>
      <w:rFonts w:ascii="Consolas" w:hAnsi="Consolas" w:cs="Consolas"/>
      <w:sz w:val="21"/>
    </w:rPr>
  </w:style>
  <w:style w:type="character" w:customStyle="1" w:styleId="PlainTextChar">
    <w:name w:val="Plain Text Char"/>
    <w:basedOn w:val="DefaultParagraphFont"/>
    <w:link w:val="PlainText"/>
    <w:uiPriority w:val="99"/>
    <w:semiHidden/>
    <w:rPr>
      <w:rFonts w:ascii="Consolas" w:hAnsi="Consolas" w:cs="Consolas"/>
      <w:sz w:val="21"/>
    </w:rPr>
  </w:style>
  <w:style w:type="paragraph" w:styleId="Salutation">
    <w:name w:val="Salutation"/>
    <w:basedOn w:val="Normal"/>
    <w:next w:val="Normal"/>
    <w:link w:val="SalutationChar"/>
    <w:uiPriority w:val="99"/>
    <w:semiHidden/>
    <w:unhideWhenUsed/>
  </w:style>
  <w:style w:type="character" w:customStyle="1" w:styleId="SalutationChar">
    <w:name w:val="Salutation Char"/>
    <w:basedOn w:val="DefaultParagraphFont"/>
    <w:link w:val="Salutation"/>
    <w:uiPriority w:val="99"/>
    <w:semiHidden/>
  </w:style>
  <w:style w:type="paragraph" w:styleId="Signature">
    <w:name w:val="Signature"/>
    <w:basedOn w:val="Normal"/>
    <w:link w:val="SignatureChar"/>
    <w:uiPriority w:val="9"/>
    <w:unhideWhenUsed/>
    <w:qFormat/>
    <w:pPr>
      <w:spacing w:before="720" w:after="0" w:line="312" w:lineRule="auto"/>
      <w:contextualSpacing/>
    </w:pPr>
  </w:style>
  <w:style w:type="character" w:customStyle="1" w:styleId="SignatureChar">
    <w:name w:val="Signature Char"/>
    <w:basedOn w:val="DefaultParagraphFont"/>
    <w:link w:val="Signature"/>
    <w:uiPriority w:val="9"/>
    <w:rPr>
      <w:kern w:val="20"/>
    </w:rPr>
  </w:style>
  <w:style w:type="character" w:styleId="Strong">
    <w:name w:val="Strong"/>
    <w:basedOn w:val="DefaultParagraphFont"/>
    <w:uiPriority w:val="1"/>
    <w:unhideWhenUsed/>
    <w:qFormat/>
    <w:rsid w:val="009A5A23"/>
    <w:rPr>
      <w:rFonts w:asciiTheme="majorHAnsi" w:hAnsiTheme="majorHAnsi"/>
      <w:b/>
      <w:bCs/>
      <w:i/>
      <w:sz w:val="28"/>
    </w:rPr>
  </w:style>
  <w:style w:type="paragraph" w:styleId="Subtitle">
    <w:name w:val="Subtitle"/>
    <w:basedOn w:val="Normal"/>
    <w:next w:val="Normal"/>
    <w:link w:val="SubtitleChar"/>
    <w:uiPriority w:val="19"/>
    <w:unhideWhenUsed/>
    <w:qFormat/>
    <w:pPr>
      <w:numPr>
        <w:ilvl w:val="1"/>
      </w:numPr>
      <w:ind w:left="144" w:right="720"/>
    </w:pPr>
    <w:rPr>
      <w:rFonts w:asciiTheme="majorHAnsi" w:eastAsiaTheme="majorEastAsia" w:hAnsiTheme="majorHAnsi" w:cstheme="majorBidi"/>
      <w:caps/>
      <w:color w:val="000000" w:themeColor="accent1"/>
      <w:sz w:val="64"/>
    </w:rPr>
  </w:style>
  <w:style w:type="character" w:customStyle="1" w:styleId="SubtitleChar">
    <w:name w:val="Subtitle Char"/>
    <w:basedOn w:val="DefaultParagraphFont"/>
    <w:link w:val="Subtitle"/>
    <w:uiPriority w:val="19"/>
    <w:rPr>
      <w:rFonts w:asciiTheme="majorHAnsi" w:eastAsiaTheme="majorEastAsia" w:hAnsiTheme="majorHAnsi" w:cstheme="majorBidi"/>
      <w:caps/>
      <w:color w:val="000000" w:themeColor="accent1"/>
      <w:kern w:val="20"/>
      <w:sz w:val="64"/>
    </w:rPr>
  </w:style>
  <w:style w:type="character" w:styleId="SubtleEmphasis">
    <w:name w:val="Subtle Emphasis"/>
    <w:basedOn w:val="DefaultParagraphFont"/>
    <w:uiPriority w:val="19"/>
    <w:semiHidden/>
    <w:unhideWhenUsed/>
    <w:rPr>
      <w:i/>
      <w:iCs/>
      <w:color w:val="FFFFFF" w:themeColor="text1" w:themeTint="7F"/>
    </w:rPr>
  </w:style>
  <w:style w:type="character" w:styleId="SubtleReference">
    <w:name w:val="Subtle Reference"/>
    <w:basedOn w:val="DefaultParagraphFont"/>
    <w:uiPriority w:val="31"/>
    <w:semiHidden/>
    <w:unhideWhenUsed/>
    <w:rPr>
      <w:smallCaps/>
      <w:color w:val="A50021" w:themeColor="accent2"/>
      <w:u w:val="single"/>
    </w:rPr>
  </w:style>
  <w:style w:type="table" w:styleId="Table3Deffects1">
    <w:name w:val="Table 3D effects 1"/>
    <w:basedOn w:val="TableNormal"/>
    <w:uiPriority w:val="99"/>
    <w:semiHidden/>
    <w:unhideWhenUsed/>
    <w:pPr>
      <w:spacing w:line="300" w:lineRule="auto"/>
    </w:pPr>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pPr>
      <w:spacing w:line="300" w:lineRule="auto"/>
    </w:pPr>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pPr>
      <w:spacing w:line="300" w:lineRule="auto"/>
    </w:pPr>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pPr>
      <w:spacing w:line="300" w:lineRule="auto"/>
    </w:pPr>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pPr>
      <w:spacing w:line="300"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pPr>
      <w:spacing w:line="300" w:lineRule="auto"/>
    </w:pPr>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pPr>
      <w:spacing w:line="300"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pPr>
      <w:spacing w:line="300" w:lineRule="auto"/>
    </w:pPr>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pPr>
      <w:spacing w:line="300" w:lineRule="auto"/>
    </w:pPr>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pPr>
      <w:spacing w:line="300" w:lineRule="auto"/>
    </w:pPr>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pPr>
      <w:spacing w:line="300" w:lineRule="auto"/>
    </w:pPr>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pPr>
      <w:spacing w:line="300" w:lineRule="auto"/>
    </w:pPr>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pPr>
      <w:spacing w:line="300" w:lineRule="auto"/>
    </w:pPr>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pPr>
      <w:spacing w:line="300" w:lineRule="auto"/>
    </w:pPr>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pPr>
      <w:spacing w:line="30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pPr>
      <w:spacing w:line="300" w:lineRule="auto"/>
    </w:pPr>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pPr>
      <w:spacing w:line="300" w:lineRule="auto"/>
    </w:pPr>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pPr>
      <w:spacing w:line="300" w:lineRule="auto"/>
    </w:pPr>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pPr>
      <w:spacing w:line="300" w:lineRule="auto"/>
    </w:pPr>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pPr>
      <w:spacing w:line="300" w:lineRule="auto"/>
    </w:pPr>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pPr>
      <w:spacing w:line="300" w:lineRule="auto"/>
    </w:pPr>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pPr>
      <w:spacing w:line="300" w:lineRule="auto"/>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pPr>
      <w:spacing w:line="300" w:lineRule="auto"/>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pPr>
      <w:spacing w:line="300" w:lineRule="auto"/>
    </w:pPr>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pPr>
      <w:spacing w:line="300" w:lineRule="auto"/>
    </w:pPr>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pPr>
      <w:spacing w:line="300" w:lineRule="auto"/>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pPr>
      <w:spacing w:line="300" w:lineRule="auto"/>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pPr>
      <w:spacing w:after="0"/>
      <w:ind w:left="220" w:hanging="220"/>
    </w:pPr>
  </w:style>
  <w:style w:type="paragraph" w:styleId="TableofFigures">
    <w:name w:val="table of figures"/>
    <w:basedOn w:val="Normal"/>
    <w:next w:val="Normal"/>
    <w:uiPriority w:val="99"/>
    <w:semiHidden/>
    <w:unhideWhenUsed/>
    <w:pPr>
      <w:spacing w:after="0"/>
    </w:pPr>
  </w:style>
  <w:style w:type="table" w:styleId="TableProfessional">
    <w:name w:val="Table Professional"/>
    <w:basedOn w:val="TableNormal"/>
    <w:uiPriority w:val="99"/>
    <w:semiHidden/>
    <w:unhideWhenUsed/>
    <w:pPr>
      <w:spacing w:line="300" w:lineRule="auto"/>
    </w:pPr>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pPr>
      <w:spacing w:line="300" w:lineRule="auto"/>
    </w:pPr>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pPr>
      <w:spacing w:line="300" w:lineRule="auto"/>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pPr>
      <w:spacing w:line="300" w:lineRule="auto"/>
    </w:pPr>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pPr>
      <w:spacing w:line="300" w:lineRule="auto"/>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pPr>
      <w:spacing w:line="300" w:lineRule="auto"/>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pPr>
      <w:spacing w:line="30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pPr>
      <w:spacing w:line="300" w:lineRule="auto"/>
    </w:pPr>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pPr>
      <w:spacing w:line="300" w:lineRule="auto"/>
    </w:pPr>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pPr>
      <w:spacing w:line="300" w:lineRule="auto"/>
    </w:pPr>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9"/>
    <w:unhideWhenUsed/>
    <w:qFormat/>
    <w:pPr>
      <w:pBdr>
        <w:top w:val="single" w:sz="4" w:space="10" w:color="000000" w:themeColor="accent1"/>
        <w:left w:val="single" w:sz="4" w:space="5" w:color="000000" w:themeColor="accent1"/>
        <w:bottom w:val="single" w:sz="4" w:space="10" w:color="000000" w:themeColor="accent1"/>
        <w:right w:val="single" w:sz="4" w:space="5" w:color="000000" w:themeColor="accent1"/>
      </w:pBdr>
      <w:shd w:val="clear" w:color="auto" w:fill="000000" w:themeFill="accent1"/>
      <w:spacing w:before="240" w:after="240" w:line="1200" w:lineRule="exact"/>
      <w:ind w:left="115" w:right="115"/>
    </w:pPr>
    <w:rPr>
      <w:rFonts w:asciiTheme="majorHAnsi" w:eastAsiaTheme="majorEastAsia" w:hAnsiTheme="majorHAnsi" w:cstheme="majorBidi"/>
      <w:caps/>
      <w:color w:val="FFFFFF" w:themeColor="background1"/>
      <w:spacing w:val="40"/>
      <w:kern w:val="28"/>
      <w:sz w:val="136"/>
      <w14:ligatures w14:val="standardContextual"/>
    </w:rPr>
  </w:style>
  <w:style w:type="character" w:customStyle="1" w:styleId="TitleChar">
    <w:name w:val="Title Char"/>
    <w:basedOn w:val="DefaultParagraphFont"/>
    <w:link w:val="Title"/>
    <w:uiPriority w:val="19"/>
    <w:rPr>
      <w:rFonts w:asciiTheme="majorHAnsi" w:eastAsiaTheme="majorEastAsia" w:hAnsiTheme="majorHAnsi" w:cstheme="majorBidi"/>
      <w:caps/>
      <w:color w:val="FFFFFF" w:themeColor="background1"/>
      <w:spacing w:val="40"/>
      <w:kern w:val="28"/>
      <w:sz w:val="136"/>
      <w:shd w:val="clear" w:color="auto" w:fill="000000" w:themeFill="accent1"/>
      <w14:ligatures w14:val="standardContextual"/>
    </w:rPr>
  </w:style>
  <w:style w:type="paragraph" w:styleId="TOAHeading">
    <w:name w:val="toa heading"/>
    <w:basedOn w:val="Normal"/>
    <w:next w:val="Normal"/>
    <w:uiPriority w:val="99"/>
    <w:semiHidden/>
    <w:unhideWhenUsed/>
    <w:rPr>
      <w:rFonts w:asciiTheme="majorHAnsi" w:eastAsiaTheme="majorEastAsia" w:hAnsiTheme="majorHAnsi" w:cstheme="majorBidi"/>
      <w:b/>
      <w:bCs/>
      <w:sz w:val="24"/>
    </w:rPr>
  </w:style>
  <w:style w:type="paragraph" w:styleId="TOC1">
    <w:name w:val="toc 1"/>
    <w:basedOn w:val="Normal"/>
    <w:next w:val="Normal"/>
    <w:link w:val="TOC1Char"/>
    <w:autoRedefine/>
    <w:uiPriority w:val="39"/>
    <w:unhideWhenUsed/>
    <w:qFormat/>
    <w:rsid w:val="008757D6"/>
    <w:pPr>
      <w:tabs>
        <w:tab w:val="right" w:leader="dot" w:pos="10132"/>
      </w:tabs>
      <w:spacing w:before="100" w:after="80"/>
      <w:ind w:left="-142" w:firstLine="142"/>
    </w:pPr>
    <w:rPr>
      <w:b/>
      <w:bCs/>
      <w:sz w:val="24"/>
    </w:rPr>
  </w:style>
  <w:style w:type="paragraph" w:styleId="TOC2">
    <w:name w:val="toc 2"/>
    <w:basedOn w:val="Normal"/>
    <w:next w:val="Normal"/>
    <w:autoRedefine/>
    <w:uiPriority w:val="39"/>
    <w:unhideWhenUsed/>
    <w:rsid w:val="00FB49AA"/>
    <w:pPr>
      <w:tabs>
        <w:tab w:val="right" w:leader="dot" w:pos="10132"/>
      </w:tabs>
      <w:spacing w:before="0" w:after="0"/>
      <w:ind w:left="-142"/>
    </w:pPr>
  </w:style>
  <w:style w:type="paragraph" w:styleId="TOC3">
    <w:name w:val="toc 3"/>
    <w:basedOn w:val="Normal"/>
    <w:next w:val="Normal"/>
    <w:autoRedefine/>
    <w:uiPriority w:val="39"/>
    <w:unhideWhenUsed/>
    <w:pPr>
      <w:spacing w:before="0" w:after="0"/>
      <w:ind w:left="400"/>
    </w:pPr>
    <w:rPr>
      <w:i/>
      <w:iCs/>
    </w:rPr>
  </w:style>
  <w:style w:type="paragraph" w:styleId="TOC4">
    <w:name w:val="toc 4"/>
    <w:basedOn w:val="Normal"/>
    <w:next w:val="Normal"/>
    <w:autoRedefine/>
    <w:uiPriority w:val="39"/>
    <w:unhideWhenUsed/>
    <w:qFormat/>
    <w:rsid w:val="00FE3BA8"/>
    <w:pPr>
      <w:spacing w:before="0" w:after="0"/>
      <w:ind w:left="600"/>
    </w:pPr>
    <w:rPr>
      <w:szCs w:val="18"/>
    </w:rPr>
  </w:style>
  <w:style w:type="paragraph" w:styleId="TOC5">
    <w:name w:val="toc 5"/>
    <w:basedOn w:val="Normal"/>
    <w:next w:val="Normal"/>
    <w:autoRedefine/>
    <w:uiPriority w:val="39"/>
    <w:unhideWhenUsed/>
    <w:pPr>
      <w:spacing w:before="0" w:after="0"/>
      <w:ind w:left="800"/>
    </w:pPr>
    <w:rPr>
      <w:sz w:val="18"/>
      <w:szCs w:val="18"/>
    </w:rPr>
  </w:style>
  <w:style w:type="paragraph" w:styleId="TOC6">
    <w:name w:val="toc 6"/>
    <w:basedOn w:val="Normal"/>
    <w:next w:val="Normal"/>
    <w:autoRedefine/>
    <w:uiPriority w:val="39"/>
    <w:unhideWhenUsed/>
    <w:pPr>
      <w:spacing w:before="0" w:after="0"/>
      <w:ind w:left="1000"/>
    </w:pPr>
    <w:rPr>
      <w:sz w:val="18"/>
      <w:szCs w:val="18"/>
    </w:rPr>
  </w:style>
  <w:style w:type="paragraph" w:styleId="TOC7">
    <w:name w:val="toc 7"/>
    <w:basedOn w:val="Normal"/>
    <w:next w:val="Normal"/>
    <w:autoRedefine/>
    <w:uiPriority w:val="39"/>
    <w:unhideWhenUsed/>
    <w:pPr>
      <w:spacing w:before="0" w:after="0"/>
      <w:ind w:left="1200"/>
    </w:pPr>
    <w:rPr>
      <w:sz w:val="18"/>
      <w:szCs w:val="18"/>
    </w:rPr>
  </w:style>
  <w:style w:type="paragraph" w:styleId="TOC8">
    <w:name w:val="toc 8"/>
    <w:basedOn w:val="Normal"/>
    <w:next w:val="Normal"/>
    <w:autoRedefine/>
    <w:uiPriority w:val="39"/>
    <w:unhideWhenUsed/>
    <w:pPr>
      <w:spacing w:before="0" w:after="0"/>
      <w:ind w:left="1400"/>
    </w:pPr>
    <w:rPr>
      <w:sz w:val="18"/>
      <w:szCs w:val="18"/>
    </w:rPr>
  </w:style>
  <w:style w:type="paragraph" w:styleId="TOC9">
    <w:name w:val="toc 9"/>
    <w:basedOn w:val="Normal"/>
    <w:next w:val="Normal"/>
    <w:autoRedefine/>
    <w:uiPriority w:val="39"/>
    <w:unhideWhenUsed/>
    <w:pPr>
      <w:spacing w:before="0" w:after="0"/>
      <w:ind w:left="1600"/>
    </w:pPr>
    <w:rPr>
      <w:sz w:val="18"/>
      <w:szCs w:val="18"/>
    </w:rPr>
  </w:style>
  <w:style w:type="paragraph" w:styleId="TOCHeading">
    <w:name w:val="TOC Heading"/>
    <w:basedOn w:val="Heading1"/>
    <w:next w:val="Normal"/>
    <w:uiPriority w:val="39"/>
    <w:unhideWhenUsed/>
    <w:qFormat/>
    <w:rsid w:val="008F1BA6"/>
    <w:pPr>
      <w:outlineLvl w:val="9"/>
    </w:pPr>
  </w:style>
  <w:style w:type="character" w:customStyle="1" w:styleId="NoSpacingChar">
    <w:name w:val="No Spacing Char"/>
    <w:basedOn w:val="DefaultParagraphFont"/>
    <w:link w:val="NoSpacing"/>
    <w:uiPriority w:val="1"/>
  </w:style>
  <w:style w:type="paragraph" w:customStyle="1" w:styleId="TableHeading">
    <w:name w:val="Table Heading"/>
    <w:basedOn w:val="Normal"/>
    <w:uiPriority w:val="1"/>
    <w:qFormat/>
    <w:pPr>
      <w:keepNext/>
      <w:pBdr>
        <w:top w:val="single" w:sz="4" w:space="1" w:color="000000" w:themeColor="accent1"/>
        <w:left w:val="single" w:sz="4" w:space="6" w:color="000000" w:themeColor="accent1"/>
        <w:bottom w:val="single" w:sz="4" w:space="1" w:color="000000" w:themeColor="accent1"/>
        <w:right w:val="single" w:sz="4" w:space="6" w:color="000000" w:themeColor="accent1"/>
      </w:pBdr>
      <w:shd w:val="clear" w:color="auto" w:fill="000000" w:themeFill="accent1"/>
      <w:spacing w:before="160"/>
      <w:ind w:left="144" w:right="144"/>
    </w:pPr>
    <w:rPr>
      <w:rFonts w:asciiTheme="majorHAnsi" w:eastAsiaTheme="majorEastAsia" w:hAnsiTheme="majorHAnsi" w:cstheme="majorBidi"/>
      <w:caps/>
      <w:color w:val="FFFFFF" w:themeColor="background1"/>
      <w:sz w:val="24"/>
    </w:rPr>
  </w:style>
  <w:style w:type="paragraph" w:customStyle="1" w:styleId="TableTextDecimal">
    <w:name w:val="Table Text Decimal"/>
    <w:basedOn w:val="Normal"/>
    <w:uiPriority w:val="1"/>
    <w:qFormat/>
    <w:pPr>
      <w:tabs>
        <w:tab w:val="decimal" w:pos="1252"/>
      </w:tabs>
      <w:spacing w:before="60" w:after="60"/>
      <w:ind w:left="144" w:right="144"/>
    </w:pPr>
  </w:style>
  <w:style w:type="table" w:customStyle="1" w:styleId="FinancialTable">
    <w:name w:val="Financial Table"/>
    <w:basedOn w:val="TableNormal"/>
    <w:uiPriority w:val="99"/>
    <w:pPr>
      <w:spacing w:after="0"/>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000000" w:themeColor="accent1"/>
        <w:sz w:val="22"/>
      </w:rPr>
    </w:tblStylePr>
    <w:tblStylePr w:type="firstCol">
      <w:rPr>
        <w:b/>
      </w:rPr>
    </w:tblStylePr>
  </w:style>
  <w:style w:type="numbering" w:customStyle="1" w:styleId="AnnualReport">
    <w:name w:val="Annual Report"/>
    <w:uiPriority w:val="99"/>
    <w:pPr>
      <w:numPr>
        <w:numId w:val="6"/>
      </w:numPr>
    </w:pPr>
  </w:style>
  <w:style w:type="paragraph" w:customStyle="1" w:styleId="Abstract">
    <w:name w:val="Abstract"/>
    <w:basedOn w:val="Normal"/>
    <w:uiPriority w:val="19"/>
    <w:qFormat/>
    <w:pPr>
      <w:spacing w:before="360" w:after="600"/>
      <w:ind w:left="144" w:right="144"/>
    </w:pPr>
    <w:rPr>
      <w:i/>
      <w:iCs/>
      <w:color w:val="FFFFFF" w:themeColor="text1" w:themeTint="80"/>
      <w:sz w:val="28"/>
    </w:rPr>
  </w:style>
  <w:style w:type="paragraph" w:customStyle="1" w:styleId="TableText">
    <w:name w:val="Table Text"/>
    <w:basedOn w:val="Normal"/>
    <w:uiPriority w:val="14"/>
    <w:qFormat/>
    <w:pPr>
      <w:spacing w:before="60" w:after="60"/>
      <w:ind w:left="144" w:right="144"/>
    </w:pPr>
  </w:style>
  <w:style w:type="paragraph" w:customStyle="1" w:styleId="TableReverseHeading">
    <w:name w:val="Table Reverse Heading"/>
    <w:basedOn w:val="Normal"/>
    <w:uiPriority w:val="9"/>
    <w:qFormat/>
    <w:pPr>
      <w:spacing w:after="40"/>
      <w:ind w:left="144" w:right="144"/>
    </w:pPr>
    <w:rPr>
      <w:rFonts w:asciiTheme="majorHAnsi" w:eastAsiaTheme="majorEastAsia" w:hAnsiTheme="majorHAnsi" w:cstheme="majorBidi"/>
      <w:caps/>
      <w:color w:val="FFFFFF" w:themeColor="background1"/>
      <w:sz w:val="24"/>
    </w:rPr>
  </w:style>
  <w:style w:type="paragraph" w:customStyle="1" w:styleId="HeaderShaded">
    <w:name w:val="Header Shaded"/>
    <w:basedOn w:val="Normal"/>
    <w:uiPriority w:val="19"/>
    <w:qFormat/>
    <w:pPr>
      <w:pBdr>
        <w:top w:val="single" w:sz="2" w:space="2" w:color="000000" w:themeColor="accent1"/>
        <w:left w:val="single" w:sz="2" w:space="6" w:color="000000" w:themeColor="accent1"/>
        <w:bottom w:val="single" w:sz="2" w:space="2" w:color="000000" w:themeColor="accent1"/>
        <w:right w:val="single" w:sz="2" w:space="6" w:color="000000" w:themeColor="accent1"/>
      </w:pBdr>
      <w:shd w:val="clear" w:color="auto" w:fill="000000" w:themeFill="accent1"/>
      <w:spacing w:after="0"/>
      <w:ind w:left="-360" w:right="-360"/>
    </w:pPr>
    <w:rPr>
      <w:rFonts w:asciiTheme="majorHAnsi" w:eastAsiaTheme="majorEastAsia" w:hAnsiTheme="majorHAnsi" w:cstheme="majorBidi"/>
      <w:caps/>
      <w:color w:val="FFFFFF" w:themeColor="background1"/>
      <w:sz w:val="48"/>
    </w:rPr>
  </w:style>
  <w:style w:type="paragraph" w:customStyle="1" w:styleId="ANR4">
    <w:name w:val="ANR4"/>
    <w:basedOn w:val="Normal"/>
    <w:link w:val="ANR4Char"/>
    <w:rsid w:val="000E59B7"/>
    <w:pPr>
      <w:spacing w:before="0" w:after="0"/>
    </w:pPr>
    <w:rPr>
      <w:rFonts w:eastAsia="Calibri"/>
      <w:b/>
      <w:kern w:val="0"/>
      <w:szCs w:val="22"/>
      <w:lang w:eastAsia="en-US"/>
    </w:rPr>
  </w:style>
  <w:style w:type="character" w:customStyle="1" w:styleId="ANR4Char">
    <w:name w:val="ANR4 Char"/>
    <w:link w:val="ANR4"/>
    <w:rsid w:val="000E59B7"/>
    <w:rPr>
      <w:rFonts w:ascii="Arial" w:eastAsia="Calibri" w:hAnsi="Arial" w:cs="Arial"/>
      <w:b/>
      <w:color w:val="auto"/>
      <w:sz w:val="22"/>
      <w:szCs w:val="22"/>
      <w:lang w:val="en-AU" w:eastAsia="en-US"/>
    </w:rPr>
  </w:style>
  <w:style w:type="paragraph" w:customStyle="1" w:styleId="TableParagraph">
    <w:name w:val="Table Paragraph"/>
    <w:basedOn w:val="Normal"/>
    <w:link w:val="TableParagraphChar"/>
    <w:uiPriority w:val="1"/>
    <w:qFormat/>
    <w:rsid w:val="000E59B7"/>
    <w:pPr>
      <w:widowControl w:val="0"/>
      <w:spacing w:before="0" w:after="0"/>
    </w:pPr>
    <w:rPr>
      <w:rFonts w:ascii="Calibri" w:eastAsia="Calibri" w:hAnsi="Calibri" w:cs="Times New Roman"/>
      <w:kern w:val="0"/>
      <w:szCs w:val="22"/>
      <w:lang w:eastAsia="en-US"/>
    </w:rPr>
  </w:style>
  <w:style w:type="character" w:customStyle="1" w:styleId="ListParagraphChar">
    <w:name w:val="List Paragraph Char"/>
    <w:aliases w:val="NFP GP Bulleted List Char,List Paragraph1 Char,Recommendation Char,List Paragraph11 Char,FooterText Char,numbered Char,Paragraphe de liste1 Char,Bulletr List Paragraph Char,列出段落 Char,列出段落1 Char,List Paragraph2 Char,Listeafsnit1 Char"/>
    <w:link w:val="ListParagraph"/>
    <w:uiPriority w:val="34"/>
    <w:locked/>
    <w:rsid w:val="00EB6EB1"/>
    <w:rPr>
      <w:rFonts w:ascii="Arial" w:hAnsi="Arial"/>
      <w:color w:val="auto"/>
      <w:u w:val="none"/>
    </w:rPr>
  </w:style>
  <w:style w:type="paragraph" w:customStyle="1" w:styleId="financeheading2">
    <w:name w:val="finance heading 2"/>
    <w:basedOn w:val="Heading2"/>
    <w:link w:val="financeheading2Char"/>
    <w:qFormat/>
    <w:rsid w:val="00341581"/>
  </w:style>
  <w:style w:type="paragraph" w:customStyle="1" w:styleId="FinanceHeading3">
    <w:name w:val="Finance Heading 3"/>
    <w:basedOn w:val="Heading3"/>
    <w:link w:val="FinanceHeading3Char"/>
    <w:qFormat/>
    <w:rsid w:val="00341581"/>
    <w:rPr>
      <w:rFonts w:eastAsia="Times New Roman"/>
    </w:rPr>
  </w:style>
  <w:style w:type="character" w:customStyle="1" w:styleId="TOC1Char">
    <w:name w:val="TOC 1 Char"/>
    <w:basedOn w:val="DefaultParagraphFont"/>
    <w:link w:val="TOC1"/>
    <w:uiPriority w:val="39"/>
    <w:rsid w:val="008757D6"/>
    <w:rPr>
      <w:rFonts w:ascii="Arial" w:hAnsi="Arial"/>
      <w:b/>
      <w:bCs/>
      <w:color w:val="auto"/>
      <w:sz w:val="24"/>
      <w:u w:val="none"/>
      <w:lang w:val="en-AU"/>
    </w:rPr>
  </w:style>
  <w:style w:type="character" w:customStyle="1" w:styleId="financeheading2Char">
    <w:name w:val="finance heading 2 Char"/>
    <w:basedOn w:val="TOC1Char"/>
    <w:link w:val="financeheading2"/>
    <w:rsid w:val="00341581"/>
    <w:rPr>
      <w:rFonts w:ascii="Arial" w:eastAsiaTheme="majorEastAsia" w:hAnsi="Arial" w:cstheme="majorBidi"/>
      <w:b/>
      <w:bCs w:val="0"/>
      <w:i/>
      <w:caps w:val="0"/>
      <w:color w:val="000000" w:themeColor="accent1" w:themeShade="BF"/>
      <w:kern w:val="20"/>
      <w:sz w:val="36"/>
      <w:u w:val="none"/>
      <w:lang w:val="en-AU"/>
      <w14:ligatures w14:val="standardContextual"/>
    </w:rPr>
  </w:style>
  <w:style w:type="character" w:customStyle="1" w:styleId="FinanceHeading3Char">
    <w:name w:val="Finance Heading 3 Char"/>
    <w:basedOn w:val="financeheading2Char"/>
    <w:link w:val="FinanceHeading3"/>
    <w:rsid w:val="00341581"/>
    <w:rPr>
      <w:rFonts w:ascii="Arial" w:eastAsia="Times New Roman" w:hAnsi="Arial" w:cstheme="majorBidi"/>
      <w:b/>
      <w:bCs/>
      <w:i w:val="0"/>
      <w:caps/>
      <w:color w:val="000000" w:themeColor="accent1" w:themeShade="BF"/>
      <w:kern w:val="20"/>
      <w:sz w:val="28"/>
      <w:u w:val="none"/>
      <w:lang w:val="en-AU"/>
      <w14:ligatures w14:val="standardContextual"/>
    </w:rPr>
  </w:style>
  <w:style w:type="table" w:customStyle="1" w:styleId="PlainTable21">
    <w:name w:val="Plain Table 21"/>
    <w:basedOn w:val="TableNormal"/>
    <w:uiPriority w:val="41"/>
    <w:rsid w:val="00180613"/>
    <w:pPr>
      <w:spacing w:after="0"/>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table" w:customStyle="1" w:styleId="PlainTable11">
    <w:name w:val="Plain Table 11"/>
    <w:basedOn w:val="TableNormal"/>
    <w:uiPriority w:val="40"/>
    <w:rsid w:val="00B65A13"/>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uiPriority w:val="43"/>
    <w:rsid w:val="00C74296"/>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FinancialTable1">
    <w:name w:val="Financial Table1"/>
    <w:basedOn w:val="TableNormal"/>
    <w:uiPriority w:val="99"/>
    <w:rsid w:val="00CC416C"/>
    <w:pPr>
      <w:spacing w:before="40" w:after="0"/>
      <w:ind w:left="144" w:right="144"/>
    </w:pPr>
    <w:tblPr>
      <w:tblBorders>
        <w:insideH w:val="single" w:sz="4" w:space="0" w:color="D9D9D9" w:themeColor="background1" w:themeShade="D9"/>
      </w:tblBorders>
      <w:tblCellMar>
        <w:left w:w="0" w:type="dxa"/>
        <w:right w:w="0" w:type="dxa"/>
      </w:tblCellMar>
    </w:tblPr>
    <w:tblStylePr w:type="firstRow">
      <w:rPr>
        <w:rFonts w:asciiTheme="majorHAnsi" w:hAnsiTheme="majorHAnsi"/>
        <w:b w:val="0"/>
        <w:caps/>
        <w:smallCaps w:val="0"/>
        <w:color w:val="000000" w:themeColor="accent1"/>
        <w:sz w:val="22"/>
      </w:rPr>
    </w:tblStylePr>
    <w:tblStylePr w:type="firstCol">
      <w:rPr>
        <w:b/>
      </w:rPr>
    </w:tblStylePr>
  </w:style>
  <w:style w:type="paragraph" w:customStyle="1" w:styleId="Default">
    <w:name w:val="Default"/>
    <w:rsid w:val="007405D1"/>
    <w:pPr>
      <w:autoSpaceDE w:val="0"/>
      <w:autoSpaceDN w:val="0"/>
      <w:adjustRightInd w:val="0"/>
      <w:spacing w:before="0" w:after="0"/>
    </w:pPr>
    <w:rPr>
      <w:rFonts w:ascii="Arial" w:hAnsi="Arial"/>
      <w:color w:val="000000"/>
      <w:kern w:val="0"/>
      <w:sz w:val="24"/>
      <w:szCs w:val="24"/>
      <w:lang w:val="en-AU" w:eastAsia="en-US"/>
    </w:rPr>
  </w:style>
  <w:style w:type="character" w:customStyle="1" w:styleId="apple-converted-space">
    <w:name w:val="apple-converted-space"/>
    <w:basedOn w:val="DefaultParagraphFont"/>
    <w:rsid w:val="008E4950"/>
  </w:style>
  <w:style w:type="paragraph" w:customStyle="1" w:styleId="Style1">
    <w:name w:val="Style1"/>
    <w:basedOn w:val="Normal"/>
    <w:link w:val="Style1Char"/>
    <w:qFormat/>
    <w:rsid w:val="008B70CD"/>
    <w:pPr>
      <w:ind w:left="2268"/>
    </w:pPr>
    <w:rPr>
      <w:rFonts w:eastAsia="Calibri"/>
      <w:b/>
      <w:noProof/>
      <w:color w:val="AB054B"/>
      <w:sz w:val="28"/>
      <w:szCs w:val="24"/>
      <w:lang w:eastAsia="en-AU"/>
    </w:rPr>
  </w:style>
  <w:style w:type="paragraph" w:customStyle="1" w:styleId="Style2">
    <w:name w:val="Style2"/>
    <w:basedOn w:val="Normal"/>
    <w:link w:val="Style2Char"/>
    <w:qFormat/>
    <w:rsid w:val="008B70CD"/>
    <w:pPr>
      <w:ind w:left="2268"/>
    </w:pPr>
    <w:rPr>
      <w:b/>
      <w:sz w:val="24"/>
      <w:szCs w:val="24"/>
    </w:rPr>
  </w:style>
  <w:style w:type="character" w:customStyle="1" w:styleId="Style1Char">
    <w:name w:val="Style1 Char"/>
    <w:basedOn w:val="DefaultParagraphFont"/>
    <w:link w:val="Style1"/>
    <w:rsid w:val="008B70CD"/>
    <w:rPr>
      <w:rFonts w:ascii="Arial" w:eastAsia="Calibri" w:hAnsi="Arial"/>
      <w:b/>
      <w:noProof/>
      <w:color w:val="AB054B"/>
      <w:sz w:val="28"/>
      <w:szCs w:val="24"/>
      <w:u w:val="none"/>
      <w:lang w:val="en-AU" w:eastAsia="en-AU"/>
    </w:rPr>
  </w:style>
  <w:style w:type="paragraph" w:customStyle="1" w:styleId="Style3">
    <w:name w:val="Style3"/>
    <w:basedOn w:val="BodyText"/>
    <w:link w:val="Style3Char"/>
    <w:qFormat/>
    <w:rsid w:val="008B70CD"/>
    <w:pPr>
      <w:ind w:left="2268"/>
    </w:pPr>
    <w:rPr>
      <w:b/>
      <w:sz w:val="24"/>
      <w:szCs w:val="24"/>
    </w:rPr>
  </w:style>
  <w:style w:type="character" w:customStyle="1" w:styleId="Style2Char">
    <w:name w:val="Style2 Char"/>
    <w:basedOn w:val="DefaultParagraphFont"/>
    <w:link w:val="Style2"/>
    <w:rsid w:val="008B70CD"/>
    <w:rPr>
      <w:rFonts w:ascii="Arial" w:hAnsi="Arial"/>
      <w:b/>
      <w:color w:val="auto"/>
      <w:sz w:val="24"/>
      <w:szCs w:val="24"/>
      <w:u w:val="none"/>
    </w:rPr>
  </w:style>
  <w:style w:type="character" w:customStyle="1" w:styleId="Style3Char">
    <w:name w:val="Style3 Char"/>
    <w:basedOn w:val="BodyTextChar"/>
    <w:link w:val="Style3"/>
    <w:rsid w:val="008B70CD"/>
    <w:rPr>
      <w:rFonts w:ascii="Arial" w:hAnsi="Arial"/>
      <w:b/>
      <w:color w:val="auto"/>
      <w:sz w:val="24"/>
      <w:szCs w:val="24"/>
      <w:u w:val="none"/>
    </w:rPr>
  </w:style>
  <w:style w:type="paragraph" w:customStyle="1" w:styleId="Bulletedbodymain">
    <w:name w:val="Bulleted body main"/>
    <w:basedOn w:val="Normal"/>
    <w:rsid w:val="003F03F9"/>
    <w:pPr>
      <w:numPr>
        <w:numId w:val="8"/>
      </w:numPr>
    </w:pPr>
    <w:rPr>
      <w:rFonts w:eastAsia="SimSun"/>
      <w:kern w:val="0"/>
      <w:szCs w:val="24"/>
      <w:lang w:eastAsia="zh-CN"/>
    </w:rPr>
  </w:style>
  <w:style w:type="paragraph" w:customStyle="1" w:styleId="StyleFirstline0cm">
    <w:name w:val="Style First line:  0 cm"/>
    <w:basedOn w:val="Normal"/>
    <w:autoRedefine/>
    <w:rsid w:val="003F03F9"/>
    <w:pPr>
      <w:spacing w:before="0" w:after="0"/>
      <w:jc w:val="both"/>
    </w:pPr>
    <w:rPr>
      <w:rFonts w:eastAsia="SimSun"/>
      <w:kern w:val="0"/>
      <w:sz w:val="20"/>
      <w:lang w:eastAsia="zh-CN"/>
    </w:rPr>
  </w:style>
  <w:style w:type="table" w:customStyle="1" w:styleId="PlainTable211">
    <w:name w:val="Plain Table 211"/>
    <w:basedOn w:val="TableNormal"/>
    <w:uiPriority w:val="41"/>
    <w:rsid w:val="007C72EC"/>
    <w:pPr>
      <w:spacing w:after="0"/>
    </w:pPr>
    <w:tblPr>
      <w:tblStyleRowBandSize w:val="1"/>
      <w:tblStyleColBandSize w:val="1"/>
      <w:tblInd w:w="0" w:type="nil"/>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table" w:customStyle="1" w:styleId="PlainTable22">
    <w:name w:val="Plain Table 22"/>
    <w:basedOn w:val="TableNormal"/>
    <w:uiPriority w:val="41"/>
    <w:rsid w:val="0091197C"/>
    <w:pPr>
      <w:spacing w:after="0"/>
    </w:pPr>
    <w:tblPr>
      <w:tblStyleRowBandSize w:val="1"/>
      <w:tblStyleColBandSize w:val="1"/>
      <w:tblBorders>
        <w:top w:val="single" w:sz="4" w:space="0" w:color="FFFFFF" w:themeColor="text1" w:themeTint="80"/>
        <w:bottom w:val="single" w:sz="4" w:space="0" w:color="FFFFFF" w:themeColor="text1" w:themeTint="80"/>
      </w:tblBorders>
    </w:tblPr>
    <w:tblStylePr w:type="firstRow">
      <w:rPr>
        <w:b/>
        <w:bCs/>
      </w:rPr>
      <w:tblPr/>
      <w:tcPr>
        <w:tcBorders>
          <w:bottom w:val="single" w:sz="4" w:space="0" w:color="FFFFFF" w:themeColor="text1" w:themeTint="80"/>
        </w:tcBorders>
      </w:tcPr>
    </w:tblStylePr>
    <w:tblStylePr w:type="lastRow">
      <w:rPr>
        <w:b/>
        <w:bCs/>
      </w:rPr>
      <w:tblPr/>
      <w:tcPr>
        <w:tcBorders>
          <w:top w:val="single" w:sz="4" w:space="0" w:color="FFFFFF" w:themeColor="text1" w:themeTint="80"/>
        </w:tcBorders>
      </w:tcPr>
    </w:tblStylePr>
    <w:tblStylePr w:type="firstCol">
      <w:rPr>
        <w:b/>
        <w:bCs/>
      </w:rPr>
    </w:tblStylePr>
    <w:tblStylePr w:type="lastCol">
      <w:rPr>
        <w:b/>
        <w:bCs/>
      </w:rPr>
    </w:tblStylePr>
    <w:tblStylePr w:type="band1Vert">
      <w:tblPr/>
      <w:tcPr>
        <w:tcBorders>
          <w:left w:val="single" w:sz="4" w:space="0" w:color="FFFFFF" w:themeColor="text1" w:themeTint="80"/>
          <w:right w:val="single" w:sz="4" w:space="0" w:color="FFFFFF" w:themeColor="text1" w:themeTint="80"/>
        </w:tcBorders>
      </w:tcPr>
    </w:tblStylePr>
    <w:tblStylePr w:type="band2Vert">
      <w:tblPr/>
      <w:tcPr>
        <w:tcBorders>
          <w:left w:val="single" w:sz="4" w:space="0" w:color="FFFFFF" w:themeColor="text1" w:themeTint="80"/>
          <w:right w:val="single" w:sz="4" w:space="0" w:color="FFFFFF" w:themeColor="text1" w:themeTint="80"/>
        </w:tcBorders>
      </w:tcPr>
    </w:tblStylePr>
    <w:tblStylePr w:type="band1Horz">
      <w:tblPr/>
      <w:tcPr>
        <w:tcBorders>
          <w:top w:val="single" w:sz="4" w:space="0" w:color="FFFFFF" w:themeColor="text1" w:themeTint="80"/>
          <w:bottom w:val="single" w:sz="4" w:space="0" w:color="FFFFFF" w:themeColor="text1" w:themeTint="80"/>
        </w:tcBorders>
      </w:tcPr>
    </w:tblStylePr>
  </w:style>
  <w:style w:type="character" w:customStyle="1" w:styleId="TableParagraphChar">
    <w:name w:val="Table Paragraph Char"/>
    <w:basedOn w:val="DefaultParagraphFont"/>
    <w:link w:val="TableParagraph"/>
    <w:uiPriority w:val="1"/>
    <w:rsid w:val="00EE0911"/>
    <w:rPr>
      <w:rFonts w:ascii="Calibri" w:eastAsia="Calibri" w:hAnsi="Calibri" w:cs="Times New Roman"/>
      <w:color w:val="auto"/>
      <w:kern w:val="0"/>
      <w:szCs w:val="22"/>
      <w:u w:val="none"/>
      <w:lang w:eastAsia="en-US"/>
    </w:rPr>
  </w:style>
  <w:style w:type="paragraph" w:styleId="Revision">
    <w:name w:val="Revision"/>
    <w:hidden/>
    <w:uiPriority w:val="99"/>
    <w:semiHidden/>
    <w:rsid w:val="00E37DC2"/>
    <w:pPr>
      <w:spacing w:before="0" w:after="0"/>
    </w:pPr>
    <w:rPr>
      <w:rFonts w:ascii="Arial" w:hAnsi="Arial"/>
      <w:color w:val="auto"/>
      <w:u w:val="none"/>
    </w:rPr>
  </w:style>
  <w:style w:type="paragraph" w:customStyle="1" w:styleId="NoteIndent">
    <w:name w:val="Note Indent"/>
    <w:basedOn w:val="Normal"/>
    <w:uiPriority w:val="22"/>
    <w:qFormat/>
    <w:rsid w:val="004276A9"/>
    <w:pPr>
      <w:numPr>
        <w:numId w:val="13"/>
      </w:numPr>
      <w:tabs>
        <w:tab w:val="left" w:pos="357"/>
      </w:tabs>
      <w:spacing w:before="60" w:after="60" w:line="264" w:lineRule="auto"/>
    </w:pPr>
    <w:rPr>
      <w:rFonts w:cstheme="minorBidi"/>
      <w:kern w:val="0"/>
      <w:sz w:val="16"/>
      <w:szCs w:val="18"/>
      <w:lang w:eastAsia="en-US"/>
    </w:rPr>
  </w:style>
  <w:style w:type="paragraph" w:customStyle="1" w:styleId="BodyText30">
    <w:name w:val="Body Text3"/>
    <w:basedOn w:val="BlockText"/>
    <w:qFormat/>
    <w:rsid w:val="00A06506"/>
    <w:pPr>
      <w:pBdr>
        <w:top w:val="none" w:sz="0" w:space="0" w:color="auto"/>
        <w:left w:val="none" w:sz="0" w:space="0" w:color="auto"/>
        <w:bottom w:val="none" w:sz="0" w:space="0" w:color="auto"/>
        <w:right w:val="none" w:sz="0" w:space="0" w:color="auto"/>
      </w:pBdr>
      <w:spacing w:before="0"/>
      <w:ind w:left="426" w:right="1440"/>
    </w:pPr>
    <w:rPr>
      <w:rFonts w:eastAsia="Times New Roman"/>
      <w:i w:val="0"/>
      <w:iCs w:val="0"/>
      <w:color w:val="auto"/>
      <w:kern w:val="0"/>
      <w:szCs w:val="24"/>
      <w:lang w:eastAsia="en-US"/>
    </w:rPr>
  </w:style>
  <w:style w:type="paragraph" w:customStyle="1" w:styleId="BodyText1">
    <w:name w:val="Body Text1"/>
    <w:basedOn w:val="BlockText"/>
    <w:qFormat/>
    <w:rsid w:val="00A06506"/>
    <w:pPr>
      <w:pBdr>
        <w:top w:val="none" w:sz="0" w:space="0" w:color="auto"/>
        <w:left w:val="none" w:sz="0" w:space="0" w:color="auto"/>
        <w:bottom w:val="none" w:sz="0" w:space="0" w:color="auto"/>
        <w:right w:val="none" w:sz="0" w:space="0" w:color="auto"/>
      </w:pBdr>
      <w:spacing w:before="0"/>
      <w:ind w:left="426" w:right="1440"/>
    </w:pPr>
    <w:rPr>
      <w:rFonts w:eastAsia="Times New Roman"/>
      <w:i w:val="0"/>
      <w:iCs w:val="0"/>
      <w:color w:val="auto"/>
      <w:kern w:val="0"/>
      <w:szCs w:val="24"/>
      <w:lang w:eastAsia="en-US"/>
    </w:rPr>
  </w:style>
  <w:style w:type="paragraph" w:customStyle="1" w:styleId="Text">
    <w:name w:val="Text"/>
    <w:basedOn w:val="Normal"/>
    <w:rsid w:val="00B321EB"/>
    <w:rPr>
      <w:rFonts w:eastAsia="Times New Roman" w:cs="Times New Roman"/>
      <w:kern w:val="0"/>
      <w:sz w:val="20"/>
      <w:lang w:eastAsia="en-AU"/>
    </w:rPr>
  </w:style>
  <w:style w:type="table" w:customStyle="1" w:styleId="TableGrid10">
    <w:name w:val="Table Grid1"/>
    <w:basedOn w:val="TableNormal"/>
    <w:next w:val="TableGrid"/>
    <w:uiPriority w:val="39"/>
    <w:rsid w:val="00F70BC0"/>
    <w:pPr>
      <w:widowControl w:val="0"/>
      <w:spacing w:before="0" w:after="0"/>
    </w:pPr>
    <w:rPr>
      <w:rFonts w:ascii="Calibri" w:hAnsi="Calibri" w:cs="Times New Roman"/>
      <w:color w:val="auto"/>
      <w:kern w:val="0"/>
      <w:szCs w:val="22"/>
      <w:u w:val="none"/>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Heading">
    <w:name w:val="Table Text Heading"/>
    <w:basedOn w:val="Normal"/>
    <w:uiPriority w:val="13"/>
    <w:qFormat/>
    <w:rsid w:val="00607589"/>
    <w:pPr>
      <w:spacing w:before="60" w:after="60" w:line="264" w:lineRule="auto"/>
      <w:jc w:val="center"/>
    </w:pPr>
    <w:rPr>
      <w:rFonts w:cstheme="minorBidi"/>
      <w:b/>
      <w:kern w:val="0"/>
      <w:sz w:val="19"/>
      <w:szCs w:val="18"/>
      <w:lang w:eastAsia="en-US"/>
    </w:rPr>
  </w:style>
  <w:style w:type="paragraph" w:customStyle="1" w:styleId="TableTextRight">
    <w:name w:val="Table Text Right"/>
    <w:basedOn w:val="Normal"/>
    <w:uiPriority w:val="16"/>
    <w:qFormat/>
    <w:rsid w:val="00607589"/>
    <w:pPr>
      <w:spacing w:before="60" w:after="60" w:line="264" w:lineRule="auto"/>
      <w:jc w:val="right"/>
    </w:pPr>
    <w:rPr>
      <w:rFonts w:cstheme="minorBidi"/>
      <w:kern w:val="0"/>
      <w:sz w:val="19"/>
      <w:szCs w:val="18"/>
      <w:lang w:eastAsia="en-US"/>
    </w:rPr>
  </w:style>
  <w:style w:type="paragraph" w:customStyle="1" w:styleId="TableTextBold">
    <w:name w:val="Table Text Bold"/>
    <w:basedOn w:val="Normal"/>
    <w:uiPriority w:val="17"/>
    <w:qFormat/>
    <w:rsid w:val="00607589"/>
    <w:pPr>
      <w:spacing w:before="60" w:after="60" w:line="264" w:lineRule="auto"/>
    </w:pPr>
    <w:rPr>
      <w:rFonts w:cstheme="minorBidi"/>
      <w:b/>
      <w:kern w:val="0"/>
      <w:sz w:val="19"/>
      <w:szCs w:val="18"/>
      <w:lang w:eastAsia="en-US"/>
    </w:rPr>
  </w:style>
  <w:style w:type="paragraph" w:customStyle="1" w:styleId="TableTextItalics">
    <w:name w:val="Table Text Italics"/>
    <w:basedOn w:val="TableText"/>
    <w:uiPriority w:val="18"/>
    <w:rsid w:val="00607589"/>
    <w:pPr>
      <w:spacing w:line="264" w:lineRule="auto"/>
      <w:ind w:left="0" w:right="0"/>
    </w:pPr>
    <w:rPr>
      <w:rFonts w:cstheme="minorBidi"/>
      <w:i/>
      <w:kern w:val="0"/>
      <w:sz w:val="19"/>
      <w:szCs w:val="18"/>
      <w:lang w:eastAsia="en-US"/>
    </w:rPr>
  </w:style>
  <w:style w:type="paragraph" w:customStyle="1" w:styleId="Note">
    <w:name w:val="Note"/>
    <w:basedOn w:val="Normal"/>
    <w:next w:val="Normal"/>
    <w:uiPriority w:val="22"/>
    <w:qFormat/>
    <w:rsid w:val="00607589"/>
    <w:pPr>
      <w:spacing w:before="60" w:after="60" w:line="264" w:lineRule="auto"/>
      <w:jc w:val="both"/>
    </w:pPr>
    <w:rPr>
      <w:rFonts w:cstheme="minorBidi"/>
      <w:kern w:val="0"/>
      <w:sz w:val="16"/>
      <w:szCs w:val="22"/>
      <w:lang w:eastAsia="en-US"/>
    </w:rPr>
  </w:style>
  <w:style w:type="character" w:customStyle="1" w:styleId="UnresolvedMention1">
    <w:name w:val="Unresolved Mention1"/>
    <w:basedOn w:val="DefaultParagraphFont"/>
    <w:uiPriority w:val="99"/>
    <w:semiHidden/>
    <w:unhideWhenUsed/>
    <w:rsid w:val="00BD1A92"/>
    <w:rPr>
      <w:color w:val="808080"/>
      <w:shd w:val="clear" w:color="auto" w:fill="E6E6E6"/>
    </w:rPr>
  </w:style>
  <w:style w:type="character" w:customStyle="1" w:styleId="UnresolvedMention2">
    <w:name w:val="Unresolved Mention2"/>
    <w:basedOn w:val="DefaultParagraphFont"/>
    <w:uiPriority w:val="99"/>
    <w:semiHidden/>
    <w:unhideWhenUsed/>
    <w:rsid w:val="008434E8"/>
    <w:rPr>
      <w:color w:val="808080"/>
      <w:shd w:val="clear" w:color="auto" w:fill="E6E6E6"/>
    </w:rPr>
  </w:style>
  <w:style w:type="character" w:customStyle="1" w:styleId="UnresolvedMention3">
    <w:name w:val="Unresolved Mention3"/>
    <w:basedOn w:val="DefaultParagraphFont"/>
    <w:uiPriority w:val="99"/>
    <w:semiHidden/>
    <w:unhideWhenUsed/>
    <w:rsid w:val="00BA0A91"/>
    <w:rPr>
      <w:color w:val="808080"/>
      <w:shd w:val="clear" w:color="auto" w:fill="E6E6E6"/>
    </w:rPr>
  </w:style>
  <w:style w:type="character" w:styleId="UnresolvedMention">
    <w:name w:val="Unresolved Mention"/>
    <w:basedOn w:val="DefaultParagraphFont"/>
    <w:uiPriority w:val="99"/>
    <w:semiHidden/>
    <w:unhideWhenUsed/>
    <w:rsid w:val="00BC4B2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278391">
      <w:bodyDiv w:val="1"/>
      <w:marLeft w:val="0"/>
      <w:marRight w:val="0"/>
      <w:marTop w:val="0"/>
      <w:marBottom w:val="0"/>
      <w:divBdr>
        <w:top w:val="none" w:sz="0" w:space="0" w:color="auto"/>
        <w:left w:val="none" w:sz="0" w:space="0" w:color="auto"/>
        <w:bottom w:val="none" w:sz="0" w:space="0" w:color="auto"/>
        <w:right w:val="none" w:sz="0" w:space="0" w:color="auto"/>
      </w:divBdr>
    </w:div>
    <w:div w:id="157424778">
      <w:bodyDiv w:val="1"/>
      <w:marLeft w:val="0"/>
      <w:marRight w:val="0"/>
      <w:marTop w:val="0"/>
      <w:marBottom w:val="0"/>
      <w:divBdr>
        <w:top w:val="none" w:sz="0" w:space="0" w:color="auto"/>
        <w:left w:val="none" w:sz="0" w:space="0" w:color="auto"/>
        <w:bottom w:val="none" w:sz="0" w:space="0" w:color="auto"/>
        <w:right w:val="none" w:sz="0" w:space="0" w:color="auto"/>
      </w:divBdr>
    </w:div>
    <w:div w:id="217672645">
      <w:bodyDiv w:val="1"/>
      <w:marLeft w:val="0"/>
      <w:marRight w:val="0"/>
      <w:marTop w:val="0"/>
      <w:marBottom w:val="0"/>
      <w:divBdr>
        <w:top w:val="none" w:sz="0" w:space="0" w:color="auto"/>
        <w:left w:val="none" w:sz="0" w:space="0" w:color="auto"/>
        <w:bottom w:val="none" w:sz="0" w:space="0" w:color="auto"/>
        <w:right w:val="none" w:sz="0" w:space="0" w:color="auto"/>
      </w:divBdr>
    </w:div>
    <w:div w:id="221210790">
      <w:bodyDiv w:val="1"/>
      <w:marLeft w:val="0"/>
      <w:marRight w:val="0"/>
      <w:marTop w:val="0"/>
      <w:marBottom w:val="0"/>
      <w:divBdr>
        <w:top w:val="none" w:sz="0" w:space="0" w:color="auto"/>
        <w:left w:val="none" w:sz="0" w:space="0" w:color="auto"/>
        <w:bottom w:val="none" w:sz="0" w:space="0" w:color="auto"/>
        <w:right w:val="none" w:sz="0" w:space="0" w:color="auto"/>
      </w:divBdr>
    </w:div>
    <w:div w:id="272564302">
      <w:bodyDiv w:val="1"/>
      <w:marLeft w:val="0"/>
      <w:marRight w:val="0"/>
      <w:marTop w:val="0"/>
      <w:marBottom w:val="0"/>
      <w:divBdr>
        <w:top w:val="none" w:sz="0" w:space="0" w:color="auto"/>
        <w:left w:val="none" w:sz="0" w:space="0" w:color="auto"/>
        <w:bottom w:val="none" w:sz="0" w:space="0" w:color="auto"/>
        <w:right w:val="none" w:sz="0" w:space="0" w:color="auto"/>
      </w:divBdr>
    </w:div>
    <w:div w:id="277295766">
      <w:bodyDiv w:val="1"/>
      <w:marLeft w:val="0"/>
      <w:marRight w:val="0"/>
      <w:marTop w:val="0"/>
      <w:marBottom w:val="0"/>
      <w:divBdr>
        <w:top w:val="none" w:sz="0" w:space="0" w:color="auto"/>
        <w:left w:val="none" w:sz="0" w:space="0" w:color="auto"/>
        <w:bottom w:val="none" w:sz="0" w:space="0" w:color="auto"/>
        <w:right w:val="none" w:sz="0" w:space="0" w:color="auto"/>
      </w:divBdr>
    </w:div>
    <w:div w:id="294482796">
      <w:bodyDiv w:val="1"/>
      <w:marLeft w:val="0"/>
      <w:marRight w:val="0"/>
      <w:marTop w:val="0"/>
      <w:marBottom w:val="0"/>
      <w:divBdr>
        <w:top w:val="none" w:sz="0" w:space="0" w:color="auto"/>
        <w:left w:val="none" w:sz="0" w:space="0" w:color="auto"/>
        <w:bottom w:val="none" w:sz="0" w:space="0" w:color="auto"/>
        <w:right w:val="none" w:sz="0" w:space="0" w:color="auto"/>
      </w:divBdr>
      <w:divsChild>
        <w:div w:id="311452269">
          <w:marLeft w:val="547"/>
          <w:marRight w:val="0"/>
          <w:marTop w:val="0"/>
          <w:marBottom w:val="0"/>
          <w:divBdr>
            <w:top w:val="none" w:sz="0" w:space="0" w:color="auto"/>
            <w:left w:val="none" w:sz="0" w:space="0" w:color="auto"/>
            <w:bottom w:val="none" w:sz="0" w:space="0" w:color="auto"/>
            <w:right w:val="none" w:sz="0" w:space="0" w:color="auto"/>
          </w:divBdr>
        </w:div>
      </w:divsChild>
    </w:div>
    <w:div w:id="459231433">
      <w:bodyDiv w:val="1"/>
      <w:marLeft w:val="0"/>
      <w:marRight w:val="0"/>
      <w:marTop w:val="0"/>
      <w:marBottom w:val="0"/>
      <w:divBdr>
        <w:top w:val="none" w:sz="0" w:space="0" w:color="auto"/>
        <w:left w:val="none" w:sz="0" w:space="0" w:color="auto"/>
        <w:bottom w:val="none" w:sz="0" w:space="0" w:color="auto"/>
        <w:right w:val="none" w:sz="0" w:space="0" w:color="auto"/>
      </w:divBdr>
    </w:div>
    <w:div w:id="518200094">
      <w:bodyDiv w:val="1"/>
      <w:marLeft w:val="0"/>
      <w:marRight w:val="0"/>
      <w:marTop w:val="0"/>
      <w:marBottom w:val="0"/>
      <w:divBdr>
        <w:top w:val="none" w:sz="0" w:space="0" w:color="auto"/>
        <w:left w:val="none" w:sz="0" w:space="0" w:color="auto"/>
        <w:bottom w:val="none" w:sz="0" w:space="0" w:color="auto"/>
        <w:right w:val="none" w:sz="0" w:space="0" w:color="auto"/>
      </w:divBdr>
    </w:div>
    <w:div w:id="550926749">
      <w:bodyDiv w:val="1"/>
      <w:marLeft w:val="0"/>
      <w:marRight w:val="0"/>
      <w:marTop w:val="0"/>
      <w:marBottom w:val="0"/>
      <w:divBdr>
        <w:top w:val="none" w:sz="0" w:space="0" w:color="auto"/>
        <w:left w:val="none" w:sz="0" w:space="0" w:color="auto"/>
        <w:bottom w:val="none" w:sz="0" w:space="0" w:color="auto"/>
        <w:right w:val="none" w:sz="0" w:space="0" w:color="auto"/>
      </w:divBdr>
    </w:div>
    <w:div w:id="567807638">
      <w:bodyDiv w:val="1"/>
      <w:marLeft w:val="0"/>
      <w:marRight w:val="0"/>
      <w:marTop w:val="0"/>
      <w:marBottom w:val="0"/>
      <w:divBdr>
        <w:top w:val="none" w:sz="0" w:space="0" w:color="auto"/>
        <w:left w:val="none" w:sz="0" w:space="0" w:color="auto"/>
        <w:bottom w:val="none" w:sz="0" w:space="0" w:color="auto"/>
        <w:right w:val="none" w:sz="0" w:space="0" w:color="auto"/>
      </w:divBdr>
    </w:div>
    <w:div w:id="583733129">
      <w:bodyDiv w:val="1"/>
      <w:marLeft w:val="0"/>
      <w:marRight w:val="0"/>
      <w:marTop w:val="0"/>
      <w:marBottom w:val="0"/>
      <w:divBdr>
        <w:top w:val="none" w:sz="0" w:space="0" w:color="auto"/>
        <w:left w:val="none" w:sz="0" w:space="0" w:color="auto"/>
        <w:bottom w:val="none" w:sz="0" w:space="0" w:color="auto"/>
        <w:right w:val="none" w:sz="0" w:space="0" w:color="auto"/>
      </w:divBdr>
    </w:div>
    <w:div w:id="600919490">
      <w:bodyDiv w:val="1"/>
      <w:marLeft w:val="0"/>
      <w:marRight w:val="0"/>
      <w:marTop w:val="0"/>
      <w:marBottom w:val="0"/>
      <w:divBdr>
        <w:top w:val="none" w:sz="0" w:space="0" w:color="auto"/>
        <w:left w:val="none" w:sz="0" w:space="0" w:color="auto"/>
        <w:bottom w:val="none" w:sz="0" w:space="0" w:color="auto"/>
        <w:right w:val="none" w:sz="0" w:space="0" w:color="auto"/>
      </w:divBdr>
      <w:divsChild>
        <w:div w:id="654534539">
          <w:marLeft w:val="1166"/>
          <w:marRight w:val="0"/>
          <w:marTop w:val="0"/>
          <w:marBottom w:val="0"/>
          <w:divBdr>
            <w:top w:val="none" w:sz="0" w:space="0" w:color="auto"/>
            <w:left w:val="none" w:sz="0" w:space="0" w:color="auto"/>
            <w:bottom w:val="none" w:sz="0" w:space="0" w:color="auto"/>
            <w:right w:val="none" w:sz="0" w:space="0" w:color="auto"/>
          </w:divBdr>
        </w:div>
        <w:div w:id="1088649160">
          <w:marLeft w:val="547"/>
          <w:marRight w:val="0"/>
          <w:marTop w:val="0"/>
          <w:marBottom w:val="0"/>
          <w:divBdr>
            <w:top w:val="none" w:sz="0" w:space="0" w:color="auto"/>
            <w:left w:val="none" w:sz="0" w:space="0" w:color="auto"/>
            <w:bottom w:val="none" w:sz="0" w:space="0" w:color="auto"/>
            <w:right w:val="none" w:sz="0" w:space="0" w:color="auto"/>
          </w:divBdr>
        </w:div>
        <w:div w:id="1595895518">
          <w:marLeft w:val="1166"/>
          <w:marRight w:val="0"/>
          <w:marTop w:val="0"/>
          <w:marBottom w:val="0"/>
          <w:divBdr>
            <w:top w:val="none" w:sz="0" w:space="0" w:color="auto"/>
            <w:left w:val="none" w:sz="0" w:space="0" w:color="auto"/>
            <w:bottom w:val="none" w:sz="0" w:space="0" w:color="auto"/>
            <w:right w:val="none" w:sz="0" w:space="0" w:color="auto"/>
          </w:divBdr>
        </w:div>
        <w:div w:id="1804422927">
          <w:marLeft w:val="1166"/>
          <w:marRight w:val="0"/>
          <w:marTop w:val="0"/>
          <w:marBottom w:val="0"/>
          <w:divBdr>
            <w:top w:val="none" w:sz="0" w:space="0" w:color="auto"/>
            <w:left w:val="none" w:sz="0" w:space="0" w:color="auto"/>
            <w:bottom w:val="none" w:sz="0" w:space="0" w:color="auto"/>
            <w:right w:val="none" w:sz="0" w:space="0" w:color="auto"/>
          </w:divBdr>
        </w:div>
      </w:divsChild>
    </w:div>
    <w:div w:id="664017178">
      <w:bodyDiv w:val="1"/>
      <w:marLeft w:val="0"/>
      <w:marRight w:val="0"/>
      <w:marTop w:val="0"/>
      <w:marBottom w:val="0"/>
      <w:divBdr>
        <w:top w:val="none" w:sz="0" w:space="0" w:color="auto"/>
        <w:left w:val="none" w:sz="0" w:space="0" w:color="auto"/>
        <w:bottom w:val="none" w:sz="0" w:space="0" w:color="auto"/>
        <w:right w:val="none" w:sz="0" w:space="0" w:color="auto"/>
      </w:divBdr>
    </w:div>
    <w:div w:id="774448540">
      <w:bodyDiv w:val="1"/>
      <w:marLeft w:val="0"/>
      <w:marRight w:val="0"/>
      <w:marTop w:val="0"/>
      <w:marBottom w:val="0"/>
      <w:divBdr>
        <w:top w:val="none" w:sz="0" w:space="0" w:color="auto"/>
        <w:left w:val="none" w:sz="0" w:space="0" w:color="auto"/>
        <w:bottom w:val="none" w:sz="0" w:space="0" w:color="auto"/>
        <w:right w:val="none" w:sz="0" w:space="0" w:color="auto"/>
      </w:divBdr>
    </w:div>
    <w:div w:id="789781861">
      <w:bodyDiv w:val="1"/>
      <w:marLeft w:val="0"/>
      <w:marRight w:val="0"/>
      <w:marTop w:val="0"/>
      <w:marBottom w:val="0"/>
      <w:divBdr>
        <w:top w:val="none" w:sz="0" w:space="0" w:color="auto"/>
        <w:left w:val="none" w:sz="0" w:space="0" w:color="auto"/>
        <w:bottom w:val="none" w:sz="0" w:space="0" w:color="auto"/>
        <w:right w:val="none" w:sz="0" w:space="0" w:color="auto"/>
      </w:divBdr>
    </w:div>
    <w:div w:id="838547839">
      <w:bodyDiv w:val="1"/>
      <w:marLeft w:val="0"/>
      <w:marRight w:val="0"/>
      <w:marTop w:val="0"/>
      <w:marBottom w:val="0"/>
      <w:divBdr>
        <w:top w:val="none" w:sz="0" w:space="0" w:color="auto"/>
        <w:left w:val="none" w:sz="0" w:space="0" w:color="auto"/>
        <w:bottom w:val="none" w:sz="0" w:space="0" w:color="auto"/>
        <w:right w:val="none" w:sz="0" w:space="0" w:color="auto"/>
      </w:divBdr>
    </w:div>
    <w:div w:id="853347100">
      <w:bodyDiv w:val="1"/>
      <w:marLeft w:val="0"/>
      <w:marRight w:val="0"/>
      <w:marTop w:val="0"/>
      <w:marBottom w:val="0"/>
      <w:divBdr>
        <w:top w:val="none" w:sz="0" w:space="0" w:color="auto"/>
        <w:left w:val="none" w:sz="0" w:space="0" w:color="auto"/>
        <w:bottom w:val="none" w:sz="0" w:space="0" w:color="auto"/>
        <w:right w:val="none" w:sz="0" w:space="0" w:color="auto"/>
      </w:divBdr>
    </w:div>
    <w:div w:id="866139732">
      <w:bodyDiv w:val="1"/>
      <w:marLeft w:val="0"/>
      <w:marRight w:val="0"/>
      <w:marTop w:val="0"/>
      <w:marBottom w:val="0"/>
      <w:divBdr>
        <w:top w:val="none" w:sz="0" w:space="0" w:color="auto"/>
        <w:left w:val="none" w:sz="0" w:space="0" w:color="auto"/>
        <w:bottom w:val="none" w:sz="0" w:space="0" w:color="auto"/>
        <w:right w:val="none" w:sz="0" w:space="0" w:color="auto"/>
      </w:divBdr>
    </w:div>
    <w:div w:id="1033263036">
      <w:bodyDiv w:val="1"/>
      <w:marLeft w:val="0"/>
      <w:marRight w:val="0"/>
      <w:marTop w:val="0"/>
      <w:marBottom w:val="0"/>
      <w:divBdr>
        <w:top w:val="none" w:sz="0" w:space="0" w:color="auto"/>
        <w:left w:val="none" w:sz="0" w:space="0" w:color="auto"/>
        <w:bottom w:val="none" w:sz="0" w:space="0" w:color="auto"/>
        <w:right w:val="none" w:sz="0" w:space="0" w:color="auto"/>
      </w:divBdr>
    </w:div>
    <w:div w:id="1033505056">
      <w:bodyDiv w:val="1"/>
      <w:marLeft w:val="0"/>
      <w:marRight w:val="0"/>
      <w:marTop w:val="0"/>
      <w:marBottom w:val="0"/>
      <w:divBdr>
        <w:top w:val="none" w:sz="0" w:space="0" w:color="auto"/>
        <w:left w:val="none" w:sz="0" w:space="0" w:color="auto"/>
        <w:bottom w:val="none" w:sz="0" w:space="0" w:color="auto"/>
        <w:right w:val="none" w:sz="0" w:space="0" w:color="auto"/>
      </w:divBdr>
    </w:div>
    <w:div w:id="1037857129">
      <w:bodyDiv w:val="1"/>
      <w:marLeft w:val="0"/>
      <w:marRight w:val="0"/>
      <w:marTop w:val="0"/>
      <w:marBottom w:val="0"/>
      <w:divBdr>
        <w:top w:val="none" w:sz="0" w:space="0" w:color="auto"/>
        <w:left w:val="none" w:sz="0" w:space="0" w:color="auto"/>
        <w:bottom w:val="none" w:sz="0" w:space="0" w:color="auto"/>
        <w:right w:val="none" w:sz="0" w:space="0" w:color="auto"/>
      </w:divBdr>
    </w:div>
    <w:div w:id="1076902186">
      <w:bodyDiv w:val="1"/>
      <w:marLeft w:val="0"/>
      <w:marRight w:val="0"/>
      <w:marTop w:val="0"/>
      <w:marBottom w:val="0"/>
      <w:divBdr>
        <w:top w:val="none" w:sz="0" w:space="0" w:color="auto"/>
        <w:left w:val="none" w:sz="0" w:space="0" w:color="auto"/>
        <w:bottom w:val="none" w:sz="0" w:space="0" w:color="auto"/>
        <w:right w:val="none" w:sz="0" w:space="0" w:color="auto"/>
      </w:divBdr>
      <w:divsChild>
        <w:div w:id="60374834">
          <w:marLeft w:val="547"/>
          <w:marRight w:val="0"/>
          <w:marTop w:val="0"/>
          <w:marBottom w:val="0"/>
          <w:divBdr>
            <w:top w:val="none" w:sz="0" w:space="0" w:color="auto"/>
            <w:left w:val="none" w:sz="0" w:space="0" w:color="auto"/>
            <w:bottom w:val="none" w:sz="0" w:space="0" w:color="auto"/>
            <w:right w:val="none" w:sz="0" w:space="0" w:color="auto"/>
          </w:divBdr>
        </w:div>
        <w:div w:id="101649007">
          <w:marLeft w:val="547"/>
          <w:marRight w:val="0"/>
          <w:marTop w:val="0"/>
          <w:marBottom w:val="0"/>
          <w:divBdr>
            <w:top w:val="none" w:sz="0" w:space="0" w:color="auto"/>
            <w:left w:val="none" w:sz="0" w:space="0" w:color="auto"/>
            <w:bottom w:val="none" w:sz="0" w:space="0" w:color="auto"/>
            <w:right w:val="none" w:sz="0" w:space="0" w:color="auto"/>
          </w:divBdr>
        </w:div>
        <w:div w:id="1834486870">
          <w:marLeft w:val="547"/>
          <w:marRight w:val="0"/>
          <w:marTop w:val="0"/>
          <w:marBottom w:val="0"/>
          <w:divBdr>
            <w:top w:val="none" w:sz="0" w:space="0" w:color="auto"/>
            <w:left w:val="none" w:sz="0" w:space="0" w:color="auto"/>
            <w:bottom w:val="none" w:sz="0" w:space="0" w:color="auto"/>
            <w:right w:val="none" w:sz="0" w:space="0" w:color="auto"/>
          </w:divBdr>
        </w:div>
      </w:divsChild>
    </w:div>
    <w:div w:id="1084228366">
      <w:bodyDiv w:val="1"/>
      <w:marLeft w:val="0"/>
      <w:marRight w:val="0"/>
      <w:marTop w:val="0"/>
      <w:marBottom w:val="0"/>
      <w:divBdr>
        <w:top w:val="none" w:sz="0" w:space="0" w:color="auto"/>
        <w:left w:val="none" w:sz="0" w:space="0" w:color="auto"/>
        <w:bottom w:val="none" w:sz="0" w:space="0" w:color="auto"/>
        <w:right w:val="none" w:sz="0" w:space="0" w:color="auto"/>
      </w:divBdr>
    </w:div>
    <w:div w:id="1110004778">
      <w:bodyDiv w:val="1"/>
      <w:marLeft w:val="0"/>
      <w:marRight w:val="0"/>
      <w:marTop w:val="0"/>
      <w:marBottom w:val="0"/>
      <w:divBdr>
        <w:top w:val="none" w:sz="0" w:space="0" w:color="auto"/>
        <w:left w:val="none" w:sz="0" w:space="0" w:color="auto"/>
        <w:bottom w:val="none" w:sz="0" w:space="0" w:color="auto"/>
        <w:right w:val="none" w:sz="0" w:space="0" w:color="auto"/>
      </w:divBdr>
    </w:div>
    <w:div w:id="1114472373">
      <w:bodyDiv w:val="1"/>
      <w:marLeft w:val="0"/>
      <w:marRight w:val="0"/>
      <w:marTop w:val="0"/>
      <w:marBottom w:val="0"/>
      <w:divBdr>
        <w:top w:val="none" w:sz="0" w:space="0" w:color="auto"/>
        <w:left w:val="none" w:sz="0" w:space="0" w:color="auto"/>
        <w:bottom w:val="none" w:sz="0" w:space="0" w:color="auto"/>
        <w:right w:val="none" w:sz="0" w:space="0" w:color="auto"/>
      </w:divBdr>
    </w:div>
    <w:div w:id="1132480383">
      <w:bodyDiv w:val="1"/>
      <w:marLeft w:val="0"/>
      <w:marRight w:val="0"/>
      <w:marTop w:val="0"/>
      <w:marBottom w:val="0"/>
      <w:divBdr>
        <w:top w:val="none" w:sz="0" w:space="0" w:color="auto"/>
        <w:left w:val="none" w:sz="0" w:space="0" w:color="auto"/>
        <w:bottom w:val="none" w:sz="0" w:space="0" w:color="auto"/>
        <w:right w:val="none" w:sz="0" w:space="0" w:color="auto"/>
      </w:divBdr>
    </w:div>
    <w:div w:id="1218206606">
      <w:bodyDiv w:val="1"/>
      <w:marLeft w:val="0"/>
      <w:marRight w:val="0"/>
      <w:marTop w:val="0"/>
      <w:marBottom w:val="0"/>
      <w:divBdr>
        <w:top w:val="none" w:sz="0" w:space="0" w:color="auto"/>
        <w:left w:val="none" w:sz="0" w:space="0" w:color="auto"/>
        <w:bottom w:val="none" w:sz="0" w:space="0" w:color="auto"/>
        <w:right w:val="none" w:sz="0" w:space="0" w:color="auto"/>
      </w:divBdr>
      <w:divsChild>
        <w:div w:id="213467363">
          <w:marLeft w:val="0"/>
          <w:marRight w:val="0"/>
          <w:marTop w:val="0"/>
          <w:marBottom w:val="0"/>
          <w:divBdr>
            <w:top w:val="none" w:sz="0" w:space="0" w:color="auto"/>
            <w:left w:val="none" w:sz="0" w:space="0" w:color="auto"/>
            <w:bottom w:val="none" w:sz="0" w:space="0" w:color="auto"/>
            <w:right w:val="none" w:sz="0" w:space="0" w:color="auto"/>
          </w:divBdr>
          <w:divsChild>
            <w:div w:id="25810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457099">
      <w:bodyDiv w:val="1"/>
      <w:marLeft w:val="0"/>
      <w:marRight w:val="0"/>
      <w:marTop w:val="0"/>
      <w:marBottom w:val="0"/>
      <w:divBdr>
        <w:top w:val="none" w:sz="0" w:space="0" w:color="auto"/>
        <w:left w:val="none" w:sz="0" w:space="0" w:color="auto"/>
        <w:bottom w:val="none" w:sz="0" w:space="0" w:color="auto"/>
        <w:right w:val="none" w:sz="0" w:space="0" w:color="auto"/>
      </w:divBdr>
    </w:div>
    <w:div w:id="1344628028">
      <w:bodyDiv w:val="1"/>
      <w:marLeft w:val="0"/>
      <w:marRight w:val="0"/>
      <w:marTop w:val="0"/>
      <w:marBottom w:val="0"/>
      <w:divBdr>
        <w:top w:val="none" w:sz="0" w:space="0" w:color="auto"/>
        <w:left w:val="none" w:sz="0" w:space="0" w:color="auto"/>
        <w:bottom w:val="none" w:sz="0" w:space="0" w:color="auto"/>
        <w:right w:val="none" w:sz="0" w:space="0" w:color="auto"/>
      </w:divBdr>
    </w:div>
    <w:div w:id="1369254682">
      <w:bodyDiv w:val="1"/>
      <w:marLeft w:val="0"/>
      <w:marRight w:val="0"/>
      <w:marTop w:val="0"/>
      <w:marBottom w:val="0"/>
      <w:divBdr>
        <w:top w:val="none" w:sz="0" w:space="0" w:color="auto"/>
        <w:left w:val="none" w:sz="0" w:space="0" w:color="auto"/>
        <w:bottom w:val="none" w:sz="0" w:space="0" w:color="auto"/>
        <w:right w:val="none" w:sz="0" w:space="0" w:color="auto"/>
      </w:divBdr>
    </w:div>
    <w:div w:id="1384675604">
      <w:bodyDiv w:val="1"/>
      <w:marLeft w:val="0"/>
      <w:marRight w:val="0"/>
      <w:marTop w:val="0"/>
      <w:marBottom w:val="0"/>
      <w:divBdr>
        <w:top w:val="none" w:sz="0" w:space="0" w:color="auto"/>
        <w:left w:val="none" w:sz="0" w:space="0" w:color="auto"/>
        <w:bottom w:val="none" w:sz="0" w:space="0" w:color="auto"/>
        <w:right w:val="none" w:sz="0" w:space="0" w:color="auto"/>
      </w:divBdr>
    </w:div>
    <w:div w:id="1443112708">
      <w:bodyDiv w:val="1"/>
      <w:marLeft w:val="0"/>
      <w:marRight w:val="0"/>
      <w:marTop w:val="0"/>
      <w:marBottom w:val="0"/>
      <w:divBdr>
        <w:top w:val="none" w:sz="0" w:space="0" w:color="auto"/>
        <w:left w:val="none" w:sz="0" w:space="0" w:color="auto"/>
        <w:bottom w:val="none" w:sz="0" w:space="0" w:color="auto"/>
        <w:right w:val="none" w:sz="0" w:space="0" w:color="auto"/>
      </w:divBdr>
    </w:div>
    <w:div w:id="1461804775">
      <w:bodyDiv w:val="1"/>
      <w:marLeft w:val="0"/>
      <w:marRight w:val="0"/>
      <w:marTop w:val="0"/>
      <w:marBottom w:val="0"/>
      <w:divBdr>
        <w:top w:val="none" w:sz="0" w:space="0" w:color="auto"/>
        <w:left w:val="none" w:sz="0" w:space="0" w:color="auto"/>
        <w:bottom w:val="none" w:sz="0" w:space="0" w:color="auto"/>
        <w:right w:val="none" w:sz="0" w:space="0" w:color="auto"/>
      </w:divBdr>
    </w:div>
    <w:div w:id="1479491531">
      <w:bodyDiv w:val="1"/>
      <w:marLeft w:val="0"/>
      <w:marRight w:val="0"/>
      <w:marTop w:val="0"/>
      <w:marBottom w:val="0"/>
      <w:divBdr>
        <w:top w:val="none" w:sz="0" w:space="0" w:color="auto"/>
        <w:left w:val="none" w:sz="0" w:space="0" w:color="auto"/>
        <w:bottom w:val="none" w:sz="0" w:space="0" w:color="auto"/>
        <w:right w:val="none" w:sz="0" w:space="0" w:color="auto"/>
      </w:divBdr>
    </w:div>
    <w:div w:id="1492134890">
      <w:bodyDiv w:val="1"/>
      <w:marLeft w:val="0"/>
      <w:marRight w:val="0"/>
      <w:marTop w:val="0"/>
      <w:marBottom w:val="0"/>
      <w:divBdr>
        <w:top w:val="none" w:sz="0" w:space="0" w:color="auto"/>
        <w:left w:val="none" w:sz="0" w:space="0" w:color="auto"/>
        <w:bottom w:val="none" w:sz="0" w:space="0" w:color="auto"/>
        <w:right w:val="none" w:sz="0" w:space="0" w:color="auto"/>
      </w:divBdr>
      <w:divsChild>
        <w:div w:id="24403954">
          <w:marLeft w:val="547"/>
          <w:marRight w:val="0"/>
          <w:marTop w:val="0"/>
          <w:marBottom w:val="0"/>
          <w:divBdr>
            <w:top w:val="none" w:sz="0" w:space="0" w:color="auto"/>
            <w:left w:val="none" w:sz="0" w:space="0" w:color="auto"/>
            <w:bottom w:val="none" w:sz="0" w:space="0" w:color="auto"/>
            <w:right w:val="none" w:sz="0" w:space="0" w:color="auto"/>
          </w:divBdr>
        </w:div>
        <w:div w:id="153688080">
          <w:marLeft w:val="547"/>
          <w:marRight w:val="0"/>
          <w:marTop w:val="0"/>
          <w:marBottom w:val="0"/>
          <w:divBdr>
            <w:top w:val="none" w:sz="0" w:space="0" w:color="auto"/>
            <w:left w:val="none" w:sz="0" w:space="0" w:color="auto"/>
            <w:bottom w:val="none" w:sz="0" w:space="0" w:color="auto"/>
            <w:right w:val="none" w:sz="0" w:space="0" w:color="auto"/>
          </w:divBdr>
        </w:div>
        <w:div w:id="205993543">
          <w:marLeft w:val="547"/>
          <w:marRight w:val="0"/>
          <w:marTop w:val="0"/>
          <w:marBottom w:val="0"/>
          <w:divBdr>
            <w:top w:val="none" w:sz="0" w:space="0" w:color="auto"/>
            <w:left w:val="none" w:sz="0" w:space="0" w:color="auto"/>
            <w:bottom w:val="none" w:sz="0" w:space="0" w:color="auto"/>
            <w:right w:val="none" w:sz="0" w:space="0" w:color="auto"/>
          </w:divBdr>
        </w:div>
        <w:div w:id="1140734621">
          <w:marLeft w:val="547"/>
          <w:marRight w:val="0"/>
          <w:marTop w:val="0"/>
          <w:marBottom w:val="0"/>
          <w:divBdr>
            <w:top w:val="none" w:sz="0" w:space="0" w:color="auto"/>
            <w:left w:val="none" w:sz="0" w:space="0" w:color="auto"/>
            <w:bottom w:val="none" w:sz="0" w:space="0" w:color="auto"/>
            <w:right w:val="none" w:sz="0" w:space="0" w:color="auto"/>
          </w:divBdr>
        </w:div>
        <w:div w:id="1216815209">
          <w:marLeft w:val="547"/>
          <w:marRight w:val="0"/>
          <w:marTop w:val="0"/>
          <w:marBottom w:val="0"/>
          <w:divBdr>
            <w:top w:val="none" w:sz="0" w:space="0" w:color="auto"/>
            <w:left w:val="none" w:sz="0" w:space="0" w:color="auto"/>
            <w:bottom w:val="none" w:sz="0" w:space="0" w:color="auto"/>
            <w:right w:val="none" w:sz="0" w:space="0" w:color="auto"/>
          </w:divBdr>
        </w:div>
      </w:divsChild>
    </w:div>
    <w:div w:id="1528912435">
      <w:bodyDiv w:val="1"/>
      <w:marLeft w:val="0"/>
      <w:marRight w:val="0"/>
      <w:marTop w:val="0"/>
      <w:marBottom w:val="0"/>
      <w:divBdr>
        <w:top w:val="none" w:sz="0" w:space="0" w:color="auto"/>
        <w:left w:val="none" w:sz="0" w:space="0" w:color="auto"/>
        <w:bottom w:val="none" w:sz="0" w:space="0" w:color="auto"/>
        <w:right w:val="none" w:sz="0" w:space="0" w:color="auto"/>
      </w:divBdr>
    </w:div>
    <w:div w:id="1532382012">
      <w:bodyDiv w:val="1"/>
      <w:marLeft w:val="0"/>
      <w:marRight w:val="0"/>
      <w:marTop w:val="0"/>
      <w:marBottom w:val="0"/>
      <w:divBdr>
        <w:top w:val="none" w:sz="0" w:space="0" w:color="auto"/>
        <w:left w:val="none" w:sz="0" w:space="0" w:color="auto"/>
        <w:bottom w:val="none" w:sz="0" w:space="0" w:color="auto"/>
        <w:right w:val="none" w:sz="0" w:space="0" w:color="auto"/>
      </w:divBdr>
    </w:div>
    <w:div w:id="1582134457">
      <w:bodyDiv w:val="1"/>
      <w:marLeft w:val="0"/>
      <w:marRight w:val="0"/>
      <w:marTop w:val="0"/>
      <w:marBottom w:val="0"/>
      <w:divBdr>
        <w:top w:val="none" w:sz="0" w:space="0" w:color="auto"/>
        <w:left w:val="none" w:sz="0" w:space="0" w:color="auto"/>
        <w:bottom w:val="none" w:sz="0" w:space="0" w:color="auto"/>
        <w:right w:val="none" w:sz="0" w:space="0" w:color="auto"/>
      </w:divBdr>
    </w:div>
    <w:div w:id="1594317427">
      <w:bodyDiv w:val="1"/>
      <w:marLeft w:val="0"/>
      <w:marRight w:val="0"/>
      <w:marTop w:val="0"/>
      <w:marBottom w:val="0"/>
      <w:divBdr>
        <w:top w:val="none" w:sz="0" w:space="0" w:color="auto"/>
        <w:left w:val="none" w:sz="0" w:space="0" w:color="auto"/>
        <w:bottom w:val="none" w:sz="0" w:space="0" w:color="auto"/>
        <w:right w:val="none" w:sz="0" w:space="0" w:color="auto"/>
      </w:divBdr>
    </w:div>
    <w:div w:id="1705448342">
      <w:bodyDiv w:val="1"/>
      <w:marLeft w:val="0"/>
      <w:marRight w:val="0"/>
      <w:marTop w:val="0"/>
      <w:marBottom w:val="0"/>
      <w:divBdr>
        <w:top w:val="none" w:sz="0" w:space="0" w:color="auto"/>
        <w:left w:val="none" w:sz="0" w:space="0" w:color="auto"/>
        <w:bottom w:val="none" w:sz="0" w:space="0" w:color="auto"/>
        <w:right w:val="none" w:sz="0" w:space="0" w:color="auto"/>
      </w:divBdr>
    </w:div>
    <w:div w:id="1721173687">
      <w:bodyDiv w:val="1"/>
      <w:marLeft w:val="0"/>
      <w:marRight w:val="0"/>
      <w:marTop w:val="0"/>
      <w:marBottom w:val="0"/>
      <w:divBdr>
        <w:top w:val="none" w:sz="0" w:space="0" w:color="auto"/>
        <w:left w:val="none" w:sz="0" w:space="0" w:color="auto"/>
        <w:bottom w:val="none" w:sz="0" w:space="0" w:color="auto"/>
        <w:right w:val="none" w:sz="0" w:space="0" w:color="auto"/>
      </w:divBdr>
      <w:divsChild>
        <w:div w:id="208418737">
          <w:marLeft w:val="547"/>
          <w:marRight w:val="0"/>
          <w:marTop w:val="0"/>
          <w:marBottom w:val="0"/>
          <w:divBdr>
            <w:top w:val="none" w:sz="0" w:space="0" w:color="auto"/>
            <w:left w:val="none" w:sz="0" w:space="0" w:color="auto"/>
            <w:bottom w:val="none" w:sz="0" w:space="0" w:color="auto"/>
            <w:right w:val="none" w:sz="0" w:space="0" w:color="auto"/>
          </w:divBdr>
        </w:div>
        <w:div w:id="1459370591">
          <w:marLeft w:val="1166"/>
          <w:marRight w:val="0"/>
          <w:marTop w:val="0"/>
          <w:marBottom w:val="0"/>
          <w:divBdr>
            <w:top w:val="none" w:sz="0" w:space="0" w:color="auto"/>
            <w:left w:val="none" w:sz="0" w:space="0" w:color="auto"/>
            <w:bottom w:val="none" w:sz="0" w:space="0" w:color="auto"/>
            <w:right w:val="none" w:sz="0" w:space="0" w:color="auto"/>
          </w:divBdr>
        </w:div>
        <w:div w:id="1613242104">
          <w:marLeft w:val="1166"/>
          <w:marRight w:val="0"/>
          <w:marTop w:val="0"/>
          <w:marBottom w:val="0"/>
          <w:divBdr>
            <w:top w:val="none" w:sz="0" w:space="0" w:color="auto"/>
            <w:left w:val="none" w:sz="0" w:space="0" w:color="auto"/>
            <w:bottom w:val="none" w:sz="0" w:space="0" w:color="auto"/>
            <w:right w:val="none" w:sz="0" w:space="0" w:color="auto"/>
          </w:divBdr>
        </w:div>
        <w:div w:id="1782458406">
          <w:marLeft w:val="1166"/>
          <w:marRight w:val="0"/>
          <w:marTop w:val="0"/>
          <w:marBottom w:val="0"/>
          <w:divBdr>
            <w:top w:val="none" w:sz="0" w:space="0" w:color="auto"/>
            <w:left w:val="none" w:sz="0" w:space="0" w:color="auto"/>
            <w:bottom w:val="none" w:sz="0" w:space="0" w:color="auto"/>
            <w:right w:val="none" w:sz="0" w:space="0" w:color="auto"/>
          </w:divBdr>
        </w:div>
      </w:divsChild>
    </w:div>
    <w:div w:id="1723552471">
      <w:bodyDiv w:val="1"/>
      <w:marLeft w:val="0"/>
      <w:marRight w:val="0"/>
      <w:marTop w:val="0"/>
      <w:marBottom w:val="0"/>
      <w:divBdr>
        <w:top w:val="none" w:sz="0" w:space="0" w:color="auto"/>
        <w:left w:val="none" w:sz="0" w:space="0" w:color="auto"/>
        <w:bottom w:val="none" w:sz="0" w:space="0" w:color="auto"/>
        <w:right w:val="none" w:sz="0" w:space="0" w:color="auto"/>
      </w:divBdr>
    </w:div>
    <w:div w:id="1724015365">
      <w:bodyDiv w:val="1"/>
      <w:marLeft w:val="0"/>
      <w:marRight w:val="0"/>
      <w:marTop w:val="0"/>
      <w:marBottom w:val="0"/>
      <w:divBdr>
        <w:top w:val="none" w:sz="0" w:space="0" w:color="auto"/>
        <w:left w:val="none" w:sz="0" w:space="0" w:color="auto"/>
        <w:bottom w:val="none" w:sz="0" w:space="0" w:color="auto"/>
        <w:right w:val="none" w:sz="0" w:space="0" w:color="auto"/>
      </w:divBdr>
    </w:div>
    <w:div w:id="1755128915">
      <w:bodyDiv w:val="1"/>
      <w:marLeft w:val="0"/>
      <w:marRight w:val="0"/>
      <w:marTop w:val="0"/>
      <w:marBottom w:val="0"/>
      <w:divBdr>
        <w:top w:val="none" w:sz="0" w:space="0" w:color="auto"/>
        <w:left w:val="none" w:sz="0" w:space="0" w:color="auto"/>
        <w:bottom w:val="none" w:sz="0" w:space="0" w:color="auto"/>
        <w:right w:val="none" w:sz="0" w:space="0" w:color="auto"/>
      </w:divBdr>
    </w:div>
    <w:div w:id="1816601832">
      <w:bodyDiv w:val="1"/>
      <w:marLeft w:val="0"/>
      <w:marRight w:val="0"/>
      <w:marTop w:val="0"/>
      <w:marBottom w:val="0"/>
      <w:divBdr>
        <w:top w:val="none" w:sz="0" w:space="0" w:color="auto"/>
        <w:left w:val="none" w:sz="0" w:space="0" w:color="auto"/>
        <w:bottom w:val="none" w:sz="0" w:space="0" w:color="auto"/>
        <w:right w:val="none" w:sz="0" w:space="0" w:color="auto"/>
      </w:divBdr>
    </w:div>
    <w:div w:id="1818498617">
      <w:bodyDiv w:val="1"/>
      <w:marLeft w:val="0"/>
      <w:marRight w:val="0"/>
      <w:marTop w:val="0"/>
      <w:marBottom w:val="0"/>
      <w:divBdr>
        <w:top w:val="none" w:sz="0" w:space="0" w:color="auto"/>
        <w:left w:val="none" w:sz="0" w:space="0" w:color="auto"/>
        <w:bottom w:val="none" w:sz="0" w:space="0" w:color="auto"/>
        <w:right w:val="none" w:sz="0" w:space="0" w:color="auto"/>
      </w:divBdr>
    </w:div>
    <w:div w:id="1844395860">
      <w:bodyDiv w:val="1"/>
      <w:marLeft w:val="0"/>
      <w:marRight w:val="0"/>
      <w:marTop w:val="0"/>
      <w:marBottom w:val="0"/>
      <w:divBdr>
        <w:top w:val="none" w:sz="0" w:space="0" w:color="auto"/>
        <w:left w:val="none" w:sz="0" w:space="0" w:color="auto"/>
        <w:bottom w:val="none" w:sz="0" w:space="0" w:color="auto"/>
        <w:right w:val="none" w:sz="0" w:space="0" w:color="auto"/>
      </w:divBdr>
    </w:div>
    <w:div w:id="1872721267">
      <w:bodyDiv w:val="1"/>
      <w:marLeft w:val="0"/>
      <w:marRight w:val="0"/>
      <w:marTop w:val="0"/>
      <w:marBottom w:val="0"/>
      <w:divBdr>
        <w:top w:val="none" w:sz="0" w:space="0" w:color="auto"/>
        <w:left w:val="none" w:sz="0" w:space="0" w:color="auto"/>
        <w:bottom w:val="none" w:sz="0" w:space="0" w:color="auto"/>
        <w:right w:val="none" w:sz="0" w:space="0" w:color="auto"/>
      </w:divBdr>
      <w:divsChild>
        <w:div w:id="1516338978">
          <w:marLeft w:val="547"/>
          <w:marRight w:val="0"/>
          <w:marTop w:val="0"/>
          <w:marBottom w:val="0"/>
          <w:divBdr>
            <w:top w:val="none" w:sz="0" w:space="0" w:color="auto"/>
            <w:left w:val="none" w:sz="0" w:space="0" w:color="auto"/>
            <w:bottom w:val="none" w:sz="0" w:space="0" w:color="auto"/>
            <w:right w:val="none" w:sz="0" w:space="0" w:color="auto"/>
          </w:divBdr>
        </w:div>
      </w:divsChild>
    </w:div>
    <w:div w:id="1904678234">
      <w:bodyDiv w:val="1"/>
      <w:marLeft w:val="0"/>
      <w:marRight w:val="0"/>
      <w:marTop w:val="0"/>
      <w:marBottom w:val="0"/>
      <w:divBdr>
        <w:top w:val="none" w:sz="0" w:space="0" w:color="auto"/>
        <w:left w:val="none" w:sz="0" w:space="0" w:color="auto"/>
        <w:bottom w:val="none" w:sz="0" w:space="0" w:color="auto"/>
        <w:right w:val="none" w:sz="0" w:space="0" w:color="auto"/>
      </w:divBdr>
    </w:div>
    <w:div w:id="1958442386">
      <w:bodyDiv w:val="1"/>
      <w:marLeft w:val="0"/>
      <w:marRight w:val="0"/>
      <w:marTop w:val="0"/>
      <w:marBottom w:val="0"/>
      <w:divBdr>
        <w:top w:val="none" w:sz="0" w:space="0" w:color="auto"/>
        <w:left w:val="none" w:sz="0" w:space="0" w:color="auto"/>
        <w:bottom w:val="none" w:sz="0" w:space="0" w:color="auto"/>
        <w:right w:val="none" w:sz="0" w:space="0" w:color="auto"/>
      </w:divBdr>
      <w:divsChild>
        <w:div w:id="1173840796">
          <w:marLeft w:val="547"/>
          <w:marRight w:val="0"/>
          <w:marTop w:val="0"/>
          <w:marBottom w:val="0"/>
          <w:divBdr>
            <w:top w:val="none" w:sz="0" w:space="0" w:color="auto"/>
            <w:left w:val="none" w:sz="0" w:space="0" w:color="auto"/>
            <w:bottom w:val="none" w:sz="0" w:space="0" w:color="auto"/>
            <w:right w:val="none" w:sz="0" w:space="0" w:color="auto"/>
          </w:divBdr>
        </w:div>
      </w:divsChild>
    </w:div>
    <w:div w:id="1959947296">
      <w:bodyDiv w:val="1"/>
      <w:marLeft w:val="0"/>
      <w:marRight w:val="0"/>
      <w:marTop w:val="0"/>
      <w:marBottom w:val="0"/>
      <w:divBdr>
        <w:top w:val="none" w:sz="0" w:space="0" w:color="auto"/>
        <w:left w:val="none" w:sz="0" w:space="0" w:color="auto"/>
        <w:bottom w:val="none" w:sz="0" w:space="0" w:color="auto"/>
        <w:right w:val="none" w:sz="0" w:space="0" w:color="auto"/>
      </w:divBdr>
    </w:div>
    <w:div w:id="1996638170">
      <w:bodyDiv w:val="1"/>
      <w:marLeft w:val="0"/>
      <w:marRight w:val="0"/>
      <w:marTop w:val="0"/>
      <w:marBottom w:val="0"/>
      <w:divBdr>
        <w:top w:val="none" w:sz="0" w:space="0" w:color="auto"/>
        <w:left w:val="none" w:sz="0" w:space="0" w:color="auto"/>
        <w:bottom w:val="none" w:sz="0" w:space="0" w:color="auto"/>
        <w:right w:val="none" w:sz="0" w:space="0" w:color="auto"/>
      </w:divBdr>
      <w:divsChild>
        <w:div w:id="630208596">
          <w:marLeft w:val="547"/>
          <w:marRight w:val="0"/>
          <w:marTop w:val="0"/>
          <w:marBottom w:val="0"/>
          <w:divBdr>
            <w:top w:val="none" w:sz="0" w:space="0" w:color="auto"/>
            <w:left w:val="none" w:sz="0" w:space="0" w:color="auto"/>
            <w:bottom w:val="none" w:sz="0" w:space="0" w:color="auto"/>
            <w:right w:val="none" w:sz="0" w:space="0" w:color="auto"/>
          </w:divBdr>
        </w:div>
      </w:divsChild>
    </w:div>
    <w:div w:id="2005279795">
      <w:bodyDiv w:val="1"/>
      <w:marLeft w:val="0"/>
      <w:marRight w:val="0"/>
      <w:marTop w:val="0"/>
      <w:marBottom w:val="0"/>
      <w:divBdr>
        <w:top w:val="none" w:sz="0" w:space="0" w:color="auto"/>
        <w:left w:val="none" w:sz="0" w:space="0" w:color="auto"/>
        <w:bottom w:val="none" w:sz="0" w:space="0" w:color="auto"/>
        <w:right w:val="none" w:sz="0" w:space="0" w:color="auto"/>
      </w:divBdr>
      <w:divsChild>
        <w:div w:id="1033653800">
          <w:marLeft w:val="547"/>
          <w:marRight w:val="0"/>
          <w:marTop w:val="0"/>
          <w:marBottom w:val="0"/>
          <w:divBdr>
            <w:top w:val="none" w:sz="0" w:space="0" w:color="auto"/>
            <w:left w:val="none" w:sz="0" w:space="0" w:color="auto"/>
            <w:bottom w:val="none" w:sz="0" w:space="0" w:color="auto"/>
            <w:right w:val="none" w:sz="0" w:space="0" w:color="auto"/>
          </w:divBdr>
        </w:div>
      </w:divsChild>
    </w:div>
    <w:div w:id="2019845557">
      <w:bodyDiv w:val="1"/>
      <w:marLeft w:val="0"/>
      <w:marRight w:val="0"/>
      <w:marTop w:val="0"/>
      <w:marBottom w:val="0"/>
      <w:divBdr>
        <w:top w:val="none" w:sz="0" w:space="0" w:color="auto"/>
        <w:left w:val="none" w:sz="0" w:space="0" w:color="auto"/>
        <w:bottom w:val="none" w:sz="0" w:space="0" w:color="auto"/>
        <w:right w:val="none" w:sz="0" w:space="0" w:color="auto"/>
      </w:divBdr>
    </w:div>
    <w:div w:id="2068454547">
      <w:bodyDiv w:val="1"/>
      <w:marLeft w:val="0"/>
      <w:marRight w:val="0"/>
      <w:marTop w:val="0"/>
      <w:marBottom w:val="0"/>
      <w:divBdr>
        <w:top w:val="none" w:sz="0" w:space="0" w:color="auto"/>
        <w:left w:val="none" w:sz="0" w:space="0" w:color="auto"/>
        <w:bottom w:val="none" w:sz="0" w:space="0" w:color="auto"/>
        <w:right w:val="none" w:sz="0" w:space="0" w:color="auto"/>
      </w:divBdr>
    </w:div>
    <w:div w:id="2089034359">
      <w:bodyDiv w:val="1"/>
      <w:marLeft w:val="0"/>
      <w:marRight w:val="0"/>
      <w:marTop w:val="0"/>
      <w:marBottom w:val="0"/>
      <w:divBdr>
        <w:top w:val="none" w:sz="0" w:space="0" w:color="auto"/>
        <w:left w:val="none" w:sz="0" w:space="0" w:color="auto"/>
        <w:bottom w:val="none" w:sz="0" w:space="0" w:color="auto"/>
        <w:right w:val="none" w:sz="0" w:space="0" w:color="auto"/>
      </w:divBdr>
      <w:divsChild>
        <w:div w:id="11341184">
          <w:marLeft w:val="547"/>
          <w:marRight w:val="0"/>
          <w:marTop w:val="0"/>
          <w:marBottom w:val="0"/>
          <w:divBdr>
            <w:top w:val="none" w:sz="0" w:space="0" w:color="auto"/>
            <w:left w:val="none" w:sz="0" w:space="0" w:color="auto"/>
            <w:bottom w:val="none" w:sz="0" w:space="0" w:color="auto"/>
            <w:right w:val="none" w:sz="0" w:space="0" w:color="auto"/>
          </w:divBdr>
        </w:div>
        <w:div w:id="43718581">
          <w:marLeft w:val="547"/>
          <w:marRight w:val="0"/>
          <w:marTop w:val="0"/>
          <w:marBottom w:val="0"/>
          <w:divBdr>
            <w:top w:val="none" w:sz="0" w:space="0" w:color="auto"/>
            <w:left w:val="none" w:sz="0" w:space="0" w:color="auto"/>
            <w:bottom w:val="none" w:sz="0" w:space="0" w:color="auto"/>
            <w:right w:val="none" w:sz="0" w:space="0" w:color="auto"/>
          </w:divBdr>
        </w:div>
        <w:div w:id="1357002132">
          <w:marLeft w:val="547"/>
          <w:marRight w:val="0"/>
          <w:marTop w:val="0"/>
          <w:marBottom w:val="0"/>
          <w:divBdr>
            <w:top w:val="none" w:sz="0" w:space="0" w:color="auto"/>
            <w:left w:val="none" w:sz="0" w:space="0" w:color="auto"/>
            <w:bottom w:val="none" w:sz="0" w:space="0" w:color="auto"/>
            <w:right w:val="none" w:sz="0" w:space="0" w:color="auto"/>
          </w:divBdr>
        </w:div>
      </w:divsChild>
    </w:div>
    <w:div w:id="2103841137">
      <w:bodyDiv w:val="1"/>
      <w:marLeft w:val="0"/>
      <w:marRight w:val="0"/>
      <w:marTop w:val="0"/>
      <w:marBottom w:val="0"/>
      <w:divBdr>
        <w:top w:val="none" w:sz="0" w:space="0" w:color="auto"/>
        <w:left w:val="none" w:sz="0" w:space="0" w:color="auto"/>
        <w:bottom w:val="none" w:sz="0" w:space="0" w:color="auto"/>
        <w:right w:val="none" w:sz="0" w:space="0" w:color="auto"/>
      </w:divBdr>
    </w:div>
    <w:div w:id="2120172950">
      <w:bodyDiv w:val="1"/>
      <w:marLeft w:val="0"/>
      <w:marRight w:val="0"/>
      <w:marTop w:val="0"/>
      <w:marBottom w:val="0"/>
      <w:divBdr>
        <w:top w:val="none" w:sz="0" w:space="0" w:color="auto"/>
        <w:left w:val="none" w:sz="0" w:space="0" w:color="auto"/>
        <w:bottom w:val="none" w:sz="0" w:space="0" w:color="auto"/>
        <w:right w:val="none" w:sz="0" w:space="0" w:color="auto"/>
      </w:divBdr>
    </w:div>
    <w:div w:id="2128311197">
      <w:bodyDiv w:val="1"/>
      <w:marLeft w:val="0"/>
      <w:marRight w:val="0"/>
      <w:marTop w:val="0"/>
      <w:marBottom w:val="0"/>
      <w:divBdr>
        <w:top w:val="none" w:sz="0" w:space="0" w:color="auto"/>
        <w:left w:val="none" w:sz="0" w:space="0" w:color="auto"/>
        <w:bottom w:val="none" w:sz="0" w:space="0" w:color="auto"/>
        <w:right w:val="none" w:sz="0" w:space="0" w:color="auto"/>
      </w:divBdr>
    </w:div>
    <w:div w:id="2146073073">
      <w:bodyDiv w:val="1"/>
      <w:marLeft w:val="0"/>
      <w:marRight w:val="0"/>
      <w:marTop w:val="0"/>
      <w:marBottom w:val="0"/>
      <w:divBdr>
        <w:top w:val="none" w:sz="0" w:space="0" w:color="auto"/>
        <w:left w:val="none" w:sz="0" w:space="0" w:color="auto"/>
        <w:bottom w:val="none" w:sz="0" w:space="0" w:color="auto"/>
        <w:right w:val="none" w:sz="0" w:space="0" w:color="auto"/>
      </w:divBdr>
    </w:div>
    <w:div w:id="2146505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www.igem.qld.gov.au/reports-and-publications/annual-reports/Pages/default.aspx" TargetMode="External"/><Relationship Id="rId42" Type="http://schemas.openxmlformats.org/officeDocument/2006/relationships/image" Target="media/image12.jpeg"/><Relationship Id="rId47" Type="http://schemas.openxmlformats.org/officeDocument/2006/relationships/image" Target="media/image13.png"/><Relationship Id="rId63" Type="http://schemas.openxmlformats.org/officeDocument/2006/relationships/image" Target="media/image24.jpeg"/><Relationship Id="rId68" Type="http://schemas.openxmlformats.org/officeDocument/2006/relationships/image" Target="media/image29.jpeg"/><Relationship Id="rId16" Type="http://schemas.openxmlformats.org/officeDocument/2006/relationships/footer" Target="footer1.xml"/><Relationship Id="rId11" Type="http://schemas.openxmlformats.org/officeDocument/2006/relationships/footnotes" Target="footnotes.xml"/><Relationship Id="rId24" Type="http://schemas.openxmlformats.org/officeDocument/2006/relationships/image" Target="media/image2.jpeg"/><Relationship Id="rId32" Type="http://schemas.openxmlformats.org/officeDocument/2006/relationships/header" Target="header5.xml"/><Relationship Id="rId37" Type="http://schemas.openxmlformats.org/officeDocument/2006/relationships/image" Target="media/image7.png"/><Relationship Id="rId40" Type="http://schemas.openxmlformats.org/officeDocument/2006/relationships/image" Target="media/image10.jpeg"/><Relationship Id="rId45" Type="http://schemas.openxmlformats.org/officeDocument/2006/relationships/footer" Target="footer4.xml"/><Relationship Id="rId53" Type="http://schemas.openxmlformats.org/officeDocument/2006/relationships/hyperlink" Target="http://www.qao.qld.gov.au/reports-resources/parliament?fy%5B%5D=FY2016-17" TargetMode="External"/><Relationship Id="rId58" Type="http://schemas.openxmlformats.org/officeDocument/2006/relationships/image" Target="media/image19.jpeg"/><Relationship Id="rId66" Type="http://schemas.openxmlformats.org/officeDocument/2006/relationships/image" Target="media/image27.jpeg"/><Relationship Id="rId74" Type="http://schemas.openxmlformats.org/officeDocument/2006/relationships/header" Target="header10.xml"/><Relationship Id="rId79"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22.jpeg"/><Relationship Id="rId19" Type="http://schemas.openxmlformats.org/officeDocument/2006/relationships/hyperlink" Target="http://www.igem.qld.gov.au/" TargetMode="External"/><Relationship Id="rId14" Type="http://schemas.openxmlformats.org/officeDocument/2006/relationships/header" Target="header1.xml"/><Relationship Id="rId22" Type="http://schemas.openxmlformats.org/officeDocument/2006/relationships/hyperlink" Target="http://www.qld.gov.au/annualreportfeedback" TargetMode="External"/><Relationship Id="rId27" Type="http://schemas.openxmlformats.org/officeDocument/2006/relationships/hyperlink" Target="https://creativecommons.org/licenses/by/4.0/" TargetMode="External"/><Relationship Id="rId30" Type="http://schemas.openxmlformats.org/officeDocument/2006/relationships/hyperlink" Target="http://www.facebook.com/InspectorGeneralEmergencyManagement" TargetMode="External"/><Relationship Id="rId35" Type="http://schemas.openxmlformats.org/officeDocument/2006/relationships/image" Target="media/image5.png"/><Relationship Id="rId43" Type="http://schemas.openxmlformats.org/officeDocument/2006/relationships/header" Target="header7.xml"/><Relationship Id="rId48" Type="http://schemas.openxmlformats.org/officeDocument/2006/relationships/hyperlink" Target="http://www.igem.qld.gov.au/" TargetMode="External"/><Relationship Id="rId56" Type="http://schemas.openxmlformats.org/officeDocument/2006/relationships/image" Target="media/image17.jpeg"/><Relationship Id="rId64" Type="http://schemas.openxmlformats.org/officeDocument/2006/relationships/image" Target="media/image25.jpeg"/><Relationship Id="rId69" Type="http://schemas.openxmlformats.org/officeDocument/2006/relationships/image" Target="media/image30.jpeg"/><Relationship Id="rId77" Type="http://schemas.openxmlformats.org/officeDocument/2006/relationships/header" Target="header12.xml"/><Relationship Id="rId8" Type="http://schemas.openxmlformats.org/officeDocument/2006/relationships/styles" Target="styles.xml"/><Relationship Id="rId51" Type="http://schemas.openxmlformats.org/officeDocument/2006/relationships/hyperlink" Target="http://www.igem.qld.gov.au/" TargetMode="External"/><Relationship Id="rId72" Type="http://schemas.openxmlformats.org/officeDocument/2006/relationships/image" Target="media/image33.jpe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hyperlink" Target="http://creativecommons.org/licenses/by/2.5/au/" TargetMode="External"/><Relationship Id="rId33" Type="http://schemas.openxmlformats.org/officeDocument/2006/relationships/header" Target="header6.xml"/><Relationship Id="rId38" Type="http://schemas.openxmlformats.org/officeDocument/2006/relationships/image" Target="media/image8.jpeg"/><Relationship Id="rId46" Type="http://schemas.openxmlformats.org/officeDocument/2006/relationships/header" Target="header9.xml"/><Relationship Id="rId59" Type="http://schemas.openxmlformats.org/officeDocument/2006/relationships/image" Target="media/image20.jpeg"/><Relationship Id="rId67" Type="http://schemas.openxmlformats.org/officeDocument/2006/relationships/image" Target="media/image28.jpeg"/><Relationship Id="rId20" Type="http://schemas.openxmlformats.org/officeDocument/2006/relationships/hyperlink" Target="mailto:info@igem.qld.gov.au" TargetMode="External"/><Relationship Id="rId41" Type="http://schemas.openxmlformats.org/officeDocument/2006/relationships/image" Target="media/image11.jpeg"/><Relationship Id="rId54" Type="http://schemas.openxmlformats.org/officeDocument/2006/relationships/image" Target="media/image15.jpeg"/><Relationship Id="rId62" Type="http://schemas.openxmlformats.org/officeDocument/2006/relationships/image" Target="media/image23.jpeg"/><Relationship Id="rId70" Type="http://schemas.openxmlformats.org/officeDocument/2006/relationships/image" Target="media/image31.jpeg"/><Relationship Id="rId75"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hyperlink" Target="http://www.qld.gov.au/languages" TargetMode="External"/><Relationship Id="rId28" Type="http://schemas.openxmlformats.org/officeDocument/2006/relationships/hyperlink" Target="http://www.data.qld.gov.au/" TargetMode="External"/><Relationship Id="rId36" Type="http://schemas.openxmlformats.org/officeDocument/2006/relationships/image" Target="media/image6.jpeg"/><Relationship Id="rId49" Type="http://schemas.openxmlformats.org/officeDocument/2006/relationships/hyperlink" Target="http://www.igem.qld.gov.au/" TargetMode="External"/><Relationship Id="rId57" Type="http://schemas.openxmlformats.org/officeDocument/2006/relationships/image" Target="media/image18.jpeg"/><Relationship Id="rId10" Type="http://schemas.openxmlformats.org/officeDocument/2006/relationships/webSettings" Target="webSettings.xml"/><Relationship Id="rId31" Type="http://schemas.openxmlformats.org/officeDocument/2006/relationships/header" Target="header4.xml"/><Relationship Id="rId44" Type="http://schemas.openxmlformats.org/officeDocument/2006/relationships/header" Target="header8.xml"/><Relationship Id="rId52" Type="http://schemas.openxmlformats.org/officeDocument/2006/relationships/image" Target="media/image14.png"/><Relationship Id="rId60" Type="http://schemas.openxmlformats.org/officeDocument/2006/relationships/image" Target="media/image21.jpeg"/><Relationship Id="rId65" Type="http://schemas.openxmlformats.org/officeDocument/2006/relationships/image" Target="media/image26.jpeg"/><Relationship Id="rId73" Type="http://schemas.openxmlformats.org/officeDocument/2006/relationships/image" Target="media/image34.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footer" Target="footer2.xml"/><Relationship Id="rId39" Type="http://schemas.openxmlformats.org/officeDocument/2006/relationships/image" Target="media/image9.jpeg"/><Relationship Id="rId34" Type="http://schemas.openxmlformats.org/officeDocument/2006/relationships/footer" Target="footer3.xml"/><Relationship Id="rId50" Type="http://schemas.openxmlformats.org/officeDocument/2006/relationships/hyperlink" Target="http://www.igem.qld.gov.au/" TargetMode="External"/><Relationship Id="rId55" Type="http://schemas.openxmlformats.org/officeDocument/2006/relationships/image" Target="media/image16.jpeg"/><Relationship Id="rId76" Type="http://schemas.openxmlformats.org/officeDocument/2006/relationships/footer" Target="footer5.xml"/><Relationship Id="rId7" Type="http://schemas.openxmlformats.org/officeDocument/2006/relationships/numbering" Target="numbering.xml"/><Relationship Id="rId71" Type="http://schemas.openxmlformats.org/officeDocument/2006/relationships/image" Target="media/image32.jpeg"/><Relationship Id="rId2" Type="http://schemas.openxmlformats.org/officeDocument/2006/relationships/customXml" Target="../customXml/item2.xml"/><Relationship Id="rId29"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4009974\AppData\Roaming\Microsoft\Templates\Annual%20report%20(Timeless%20design).dotx" TargetMode="External"/></Relationships>
</file>

<file path=word/theme/theme1.xml><?xml version="1.0" encoding="utf-8"?>
<a:theme xmlns:a="http://schemas.openxmlformats.org/drawingml/2006/main" name="Annual Report">
  <a:themeElements>
    <a:clrScheme name="Custom 1">
      <a:dk1>
        <a:srgbClr val="FFFFFF"/>
      </a:dk1>
      <a:lt1>
        <a:srgbClr val="FFFFFF"/>
      </a:lt1>
      <a:dk2>
        <a:srgbClr val="FFFFFF"/>
      </a:dk2>
      <a:lt2>
        <a:srgbClr val="FFFFFF"/>
      </a:lt2>
      <a:accent1>
        <a:srgbClr val="000000"/>
      </a:accent1>
      <a:accent2>
        <a:srgbClr val="A50021"/>
      </a:accent2>
      <a:accent3>
        <a:srgbClr val="FDB5BA"/>
      </a:accent3>
      <a:accent4>
        <a:srgbClr val="FFE7E7"/>
      </a:accent4>
      <a:accent5>
        <a:srgbClr val="FEDADD"/>
      </a:accent5>
      <a:accent6>
        <a:srgbClr val="700015"/>
      </a:accent6>
      <a:hlink>
        <a:srgbClr val="C00000"/>
      </a:hlink>
      <a:folHlink>
        <a:srgbClr val="C0000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2015-16</PublishDate>
  <Abstract>NOTE: DPC PROVIDES FRONT AND BACK COVER TEMPLATES AND APPROVES ANNUAL REPORT COVERS                                                                                                                                                           The structure/content may need to be adjusted as the report is drafted and to ensure compliance with the 2015-16 annual report requirements.                                                                              The annual report will be published online in colour.</Abstract>
  <CompanyAddress/>
  <CompanyPhone/>
  <CompanyFax/>
  <CompanyEmail/>
</CoverPageProperties>
</file>

<file path=customXml/item2.xml><?xml version="1.0" encoding="utf-8"?>
<mappings xmlns="http://schemas.microsoft.com/pics">
  <picture>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</picture>
</mapping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7FA7A30CEC72AA4EACD01328ED411379" ma:contentTypeVersion="1" ma:contentTypeDescription="Create a new document." ma:contentTypeScope="" ma:versionID="e18dec71170c199c3e61d0310df24ae7">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679E4D8-73D9-412D-B716-777944E71373}">
  <ds:schemaRefs>
    <ds:schemaRef ds:uri="http://schemas.microsoft.com/pics"/>
  </ds:schemaRefs>
</ds:datastoreItem>
</file>

<file path=customXml/itemProps3.xml><?xml version="1.0" encoding="utf-8"?>
<ds:datastoreItem xmlns:ds="http://schemas.openxmlformats.org/officeDocument/2006/customXml" ds:itemID="{67491003-3B44-401C-B843-F799B164DFF4}">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4.xml><?xml version="1.0" encoding="utf-8"?>
<ds:datastoreItem xmlns:ds="http://schemas.openxmlformats.org/officeDocument/2006/customXml" ds:itemID="{8C24F563-5339-4E13-A3A5-804D8E126B69}">
  <ds:schemaRefs>
    <ds:schemaRef ds:uri="http://schemas.microsoft.com/sharepoint/v3/contenttype/forms"/>
  </ds:schemaRefs>
</ds:datastoreItem>
</file>

<file path=customXml/itemProps5.xml><?xml version="1.0" encoding="utf-8"?>
<ds:datastoreItem xmlns:ds="http://schemas.openxmlformats.org/officeDocument/2006/customXml" ds:itemID="{8EEF3835-F84B-4A0D-92E2-1A5750AA394A}"/>
</file>

<file path=customXml/itemProps6.xml><?xml version="1.0" encoding="utf-8"?>
<ds:datastoreItem xmlns:ds="http://schemas.openxmlformats.org/officeDocument/2006/customXml" ds:itemID="{20CBA0E9-9A50-4C8F-BC39-5B6EA9AA8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(Timeless design)</Template>
  <TotalTime>228</TotalTime>
  <Pages>63</Pages>
  <Words>13516</Words>
  <Characters>77046</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ANNUAL REPORT</vt:lpstr>
    </vt:vector>
  </TitlesOfParts>
  <Company>Department of Community Safety</Company>
  <LinksUpToDate>false</LinksUpToDate>
  <CharactersWithSpaces>90382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dc:title>
  <dc:subject/>
  <dc:creator>Jeff Hawthorne</dc:creator>
  <cp:keywords/>
  <dc:description/>
  <cp:lastModifiedBy>Sarah March</cp:lastModifiedBy>
  <cp:revision>25</cp:revision>
  <cp:lastPrinted>2018-08-30T03:41:00Z</cp:lastPrinted>
  <dcterms:created xsi:type="dcterms:W3CDTF">2018-09-07T05:42:00Z</dcterms:created>
  <dcterms:modified xsi:type="dcterms:W3CDTF">2018-09-23T22:28:00Z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TC028350639991</vt:lpwstr>
  </property>
  <property fmtid="{D5CDD505-2E9C-101B-9397-08002B2CF9AE}" pid="3" name="ContentTypeId">
    <vt:lpwstr>0x0101007FA7A30CEC72AA4EACD01328ED411379</vt:lpwstr>
  </property>
</Properties>
</file>